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907235">
      <w:pPr>
        <w:keepNext w:val="0"/>
        <w:keepLines w:val="0"/>
        <w:pageBreakBefore w:val="0"/>
        <w:kinsoku/>
        <w:overflowPunct/>
        <w:topLinePunct w:val="0"/>
        <w:autoSpaceDE/>
        <w:autoSpaceDN/>
        <w:bidi w:val="0"/>
        <w:adjustRightInd/>
        <w:snapToGrid/>
        <w:spacing w:line="560" w:lineRule="exact"/>
        <w:ind w:firstLine="434" w:firstLineChars="100"/>
        <w:textAlignment w:val="auto"/>
        <w:rPr>
          <w:rFonts w:hint="eastAsia" w:ascii="Times New Roman" w:hAnsi="Times New Roman" w:eastAsia="仿宋_GB2312" w:cs="仿宋_GB2312"/>
          <w:color w:val="auto"/>
          <w:sz w:val="32"/>
          <w:szCs w:val="32"/>
        </w:rPr>
      </w:pPr>
      <w:bookmarkStart w:id="0" w:name="_GoBack"/>
      <w:r>
        <w:rPr>
          <w:rFonts w:hint="eastAsia" w:ascii="Times New Roman" w:hAnsi="Times New Roman" w:eastAsia="方正小标宋简体" w:cs="方正小标宋简体"/>
          <w:color w:val="auto"/>
          <w:sz w:val="44"/>
          <w:szCs w:val="44"/>
          <w:lang w:eastAsia="zh-CN"/>
        </w:rPr>
        <w:t>福建省漳平市</w:t>
      </w:r>
      <w:r>
        <w:rPr>
          <w:rFonts w:hint="eastAsia" w:ascii="Times New Roman" w:hAnsi="Times New Roman" w:eastAsia="方正小标宋简体" w:cs="方正小标宋简体"/>
          <w:color w:val="auto"/>
          <w:sz w:val="44"/>
          <w:szCs w:val="44"/>
        </w:rPr>
        <w:t>烟草制品零售点合理布局规定</w:t>
      </w:r>
    </w:p>
    <w:bookmarkEnd w:id="0"/>
    <w:p w14:paraId="45F6A3DA">
      <w:pPr>
        <w:pStyle w:val="6"/>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楷体_GB2312" w:cs="楷体_GB2312"/>
          <w:color w:val="auto"/>
          <w:sz w:val="32"/>
          <w:szCs w:val="32"/>
        </w:rPr>
      </w:pPr>
      <w:r>
        <w:rPr>
          <w:rFonts w:hint="eastAsia" w:ascii="Times New Roman" w:hAnsi="Times New Roman" w:eastAsia="楷体_GB2312" w:cs="楷体_GB2312"/>
          <w:color w:val="000000"/>
          <w:sz w:val="32"/>
          <w:szCs w:val="32"/>
        </w:rPr>
        <w:t>第一章</w:t>
      </w:r>
      <w:r>
        <w:rPr>
          <w:rFonts w:hint="eastAsia" w:ascii="Times New Roman" w:hAnsi="Times New Roman" w:eastAsia="楷体_GB2312" w:cs="楷体_GB2312"/>
          <w:sz w:val="32"/>
          <w:szCs w:val="32"/>
          <w:lang w:val="en-US" w:eastAsia="zh-CN"/>
        </w:rPr>
        <w:t xml:space="preserve"> </w:t>
      </w:r>
      <w:r>
        <w:rPr>
          <w:rFonts w:hint="eastAsia" w:ascii="Times New Roman" w:hAnsi="Times New Roman" w:eastAsia="楷体_GB2312" w:cs="楷体_GB2312"/>
          <w:color w:val="000000"/>
          <w:sz w:val="32"/>
          <w:szCs w:val="32"/>
        </w:rPr>
        <w:t>总则</w:t>
      </w:r>
    </w:p>
    <w:p w14:paraId="386C6AC0">
      <w:pPr>
        <w:pStyle w:val="6"/>
        <w:keepNext w:val="0"/>
        <w:keepLines w:val="0"/>
        <w:pageBreakBefore w:val="0"/>
        <w:widowControl/>
        <w:suppressLineNumbers w:val="0"/>
        <w:kinsoku/>
        <w:wordWrap/>
        <w:overflowPunct/>
        <w:topLinePunct w:val="0"/>
        <w:autoSpaceDE/>
        <w:autoSpaceDN/>
        <w:bidi w:val="0"/>
        <w:adjustRightInd/>
        <w:snapToGrid/>
        <w:spacing w:line="560" w:lineRule="exact"/>
        <w:ind w:left="0" w:firstLine="640"/>
        <w:jc w:val="both"/>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color w:val="000000"/>
          <w:sz w:val="32"/>
          <w:szCs w:val="32"/>
        </w:rPr>
        <w:t>第一条</w:t>
      </w:r>
      <w:r>
        <w:rPr>
          <w:rFonts w:hint="eastAsia" w:ascii="Times New Roman" w:hAnsi="Times New Roman" w:eastAsia="仿宋_GB2312" w:cs="仿宋_GB2312"/>
          <w:color w:val="000000"/>
          <w:sz w:val="32"/>
          <w:szCs w:val="32"/>
          <w:lang w:val="en-US" w:eastAsia="zh-CN"/>
        </w:rPr>
        <w:t xml:space="preserve"> </w:t>
      </w:r>
      <w:r>
        <w:rPr>
          <w:rFonts w:hint="eastAsia" w:ascii="Times New Roman" w:hAnsi="Times New Roman" w:eastAsia="仿宋_GB2312" w:cs="仿宋_GB2312"/>
          <w:color w:val="000000"/>
          <w:sz w:val="32"/>
          <w:szCs w:val="32"/>
        </w:rPr>
        <w:t>为加强烟草制品零售点布局管理，合理配置烟草市场资源，规范烟草制品零售市场秩序，保护未成年人、消费者和零售户的合法权益，维护国家烟草专卖制度，根据《中华人民共和国行政许可法》、《中华人民共和国烟草专卖法》、《中华人民共和国未成年人保护法》、《中华人民共和国烟草专卖法实施条例》、《烟草专卖许可证管理办法》和《烟草专卖许可证管理办法实施细则》等</w:t>
      </w:r>
      <w:r>
        <w:rPr>
          <w:rFonts w:hint="eastAsia" w:ascii="Times New Roman" w:hAnsi="Times New Roman" w:eastAsia="仿宋_GB2312" w:cs="仿宋_GB2312"/>
          <w:color w:val="000000"/>
          <w:sz w:val="32"/>
          <w:szCs w:val="32"/>
          <w:lang w:eastAsia="zh-CN"/>
        </w:rPr>
        <w:t>法律法规</w:t>
      </w:r>
      <w:r>
        <w:rPr>
          <w:rFonts w:hint="eastAsia" w:ascii="Times New Roman" w:hAnsi="Times New Roman" w:eastAsia="仿宋_GB2312" w:cs="仿宋_GB2312"/>
          <w:color w:val="000000"/>
          <w:sz w:val="32"/>
          <w:szCs w:val="32"/>
        </w:rPr>
        <w:t>、规章的相关规定，结合漳平市实际，制定本规定。</w:t>
      </w:r>
    </w:p>
    <w:p w14:paraId="59414D8B">
      <w:pPr>
        <w:pStyle w:val="6"/>
        <w:keepNext w:val="0"/>
        <w:keepLines w:val="0"/>
        <w:pageBreakBefore w:val="0"/>
        <w:widowControl/>
        <w:suppressLineNumbers w:val="0"/>
        <w:kinsoku/>
        <w:wordWrap/>
        <w:overflowPunct/>
        <w:topLinePunct w:val="0"/>
        <w:autoSpaceDE/>
        <w:autoSpaceDN/>
        <w:bidi w:val="0"/>
        <w:adjustRightInd/>
        <w:snapToGrid/>
        <w:spacing w:line="560" w:lineRule="exact"/>
        <w:ind w:left="0" w:firstLine="640"/>
        <w:jc w:val="both"/>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color w:val="000000"/>
          <w:sz w:val="32"/>
          <w:szCs w:val="32"/>
        </w:rPr>
        <w:t>第二条</w:t>
      </w:r>
      <w:r>
        <w:rPr>
          <w:rFonts w:hint="eastAsia" w:ascii="Times New Roman" w:hAnsi="Times New Roman" w:eastAsia="仿宋_GB2312" w:cs="仿宋_GB2312"/>
          <w:color w:val="000000"/>
          <w:sz w:val="32"/>
          <w:szCs w:val="32"/>
          <w:lang w:val="en-US" w:eastAsia="zh-CN"/>
        </w:rPr>
        <w:t xml:space="preserve"> </w:t>
      </w:r>
      <w:r>
        <w:rPr>
          <w:rFonts w:hint="eastAsia" w:ascii="Times New Roman" w:hAnsi="Times New Roman" w:eastAsia="仿宋_GB2312" w:cs="仿宋_GB2312"/>
          <w:color w:val="000000"/>
          <w:sz w:val="32"/>
          <w:szCs w:val="32"/>
        </w:rPr>
        <w:t>烟草制品零售点合理布局应当遵循依法行政、科学规划、服务社会、均衡发展的原则。</w:t>
      </w:r>
    </w:p>
    <w:p w14:paraId="4322E4BA">
      <w:pPr>
        <w:pStyle w:val="6"/>
        <w:keepNext w:val="0"/>
        <w:keepLines w:val="0"/>
        <w:pageBreakBefore w:val="0"/>
        <w:widowControl/>
        <w:suppressLineNumbers w:val="0"/>
        <w:kinsoku/>
        <w:wordWrap/>
        <w:overflowPunct/>
        <w:topLinePunct w:val="0"/>
        <w:autoSpaceDE/>
        <w:autoSpaceDN/>
        <w:bidi w:val="0"/>
        <w:adjustRightInd/>
        <w:snapToGrid/>
        <w:spacing w:line="560" w:lineRule="exact"/>
        <w:ind w:left="0" w:firstLine="640"/>
        <w:jc w:val="both"/>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color w:val="000000"/>
          <w:sz w:val="32"/>
          <w:szCs w:val="32"/>
        </w:rPr>
        <w:t>第三条</w:t>
      </w:r>
      <w:r>
        <w:rPr>
          <w:rFonts w:hint="eastAsia" w:ascii="Times New Roman" w:hAnsi="Times New Roman" w:eastAsia="仿宋_GB2312" w:cs="仿宋_GB2312"/>
          <w:color w:val="000000"/>
          <w:sz w:val="32"/>
          <w:szCs w:val="32"/>
          <w:lang w:val="en-US" w:eastAsia="zh-CN"/>
        </w:rPr>
        <w:t xml:space="preserve"> </w:t>
      </w:r>
      <w:r>
        <w:rPr>
          <w:rFonts w:hint="eastAsia" w:ascii="Times New Roman" w:hAnsi="Times New Roman" w:eastAsia="仿宋_GB2312" w:cs="仿宋_GB2312"/>
          <w:color w:val="000000"/>
          <w:sz w:val="32"/>
          <w:szCs w:val="32"/>
        </w:rPr>
        <w:t>本规定适用于漳平市行政区域内烟草制品零售点（以下简称零售点）的设置与管理。上述零售点是指依法取得烟草专卖零售许可证的公民、法人或其他组织从事烟草制品零售业务的经营场所。</w:t>
      </w:r>
    </w:p>
    <w:p w14:paraId="156C07DE">
      <w:pPr>
        <w:pStyle w:val="6"/>
        <w:keepNext w:val="0"/>
        <w:keepLines w:val="0"/>
        <w:pageBreakBefore w:val="0"/>
        <w:widowControl/>
        <w:suppressLineNumbers w:val="0"/>
        <w:kinsoku/>
        <w:wordWrap/>
        <w:overflowPunct/>
        <w:topLinePunct w:val="0"/>
        <w:autoSpaceDE/>
        <w:autoSpaceDN/>
        <w:bidi w:val="0"/>
        <w:adjustRightInd/>
        <w:snapToGrid/>
        <w:spacing w:line="560" w:lineRule="exact"/>
        <w:ind w:left="0" w:firstLine="640"/>
        <w:jc w:val="both"/>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color w:val="000000"/>
          <w:sz w:val="32"/>
          <w:szCs w:val="32"/>
        </w:rPr>
        <w:t>第四条</w:t>
      </w:r>
      <w:r>
        <w:rPr>
          <w:rFonts w:hint="eastAsia" w:ascii="Times New Roman" w:hAnsi="Times New Roman" w:eastAsia="仿宋_GB2312" w:cs="仿宋_GB2312"/>
          <w:color w:val="000000"/>
          <w:sz w:val="32"/>
          <w:szCs w:val="32"/>
          <w:lang w:val="en-US" w:eastAsia="zh-CN"/>
        </w:rPr>
        <w:t xml:space="preserve"> </w:t>
      </w:r>
      <w:r>
        <w:rPr>
          <w:rFonts w:hint="eastAsia" w:ascii="Times New Roman" w:hAnsi="Times New Roman" w:eastAsia="仿宋_GB2312" w:cs="仿宋_GB2312"/>
          <w:color w:val="000000"/>
          <w:sz w:val="32"/>
          <w:szCs w:val="32"/>
        </w:rPr>
        <w:t>零售点合理布局应当充分考虑辖区人口数量、交通状况、经济发展水平、消费能力等因素，针对辖区内各区域的不同情况，分别采取不同的合理布局模式进行规划。</w:t>
      </w:r>
    </w:p>
    <w:p w14:paraId="1EBECB8C">
      <w:pPr>
        <w:pStyle w:val="6"/>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楷体_GB2312" w:cs="楷体_GB2312"/>
          <w:sz w:val="32"/>
          <w:szCs w:val="32"/>
        </w:rPr>
      </w:pPr>
      <w:r>
        <w:rPr>
          <w:rFonts w:hint="eastAsia" w:ascii="Times New Roman" w:hAnsi="Times New Roman" w:eastAsia="楷体_GB2312" w:cs="楷体_GB2312"/>
          <w:color w:val="000000"/>
          <w:sz w:val="32"/>
          <w:szCs w:val="32"/>
        </w:rPr>
        <w:t>第二章</w:t>
      </w:r>
      <w:r>
        <w:rPr>
          <w:rFonts w:hint="eastAsia" w:ascii="Times New Roman" w:hAnsi="Times New Roman" w:eastAsia="楷体_GB2312" w:cs="楷体_GB2312"/>
          <w:sz w:val="32"/>
          <w:szCs w:val="32"/>
          <w:lang w:val="en-US" w:eastAsia="zh-CN"/>
        </w:rPr>
        <w:t xml:space="preserve"> </w:t>
      </w:r>
      <w:r>
        <w:rPr>
          <w:rFonts w:hint="eastAsia" w:ascii="Times New Roman" w:hAnsi="Times New Roman" w:eastAsia="楷体_GB2312" w:cs="楷体_GB2312"/>
          <w:color w:val="000000"/>
          <w:sz w:val="32"/>
          <w:szCs w:val="32"/>
        </w:rPr>
        <w:t>合理布局标准</w:t>
      </w:r>
    </w:p>
    <w:p w14:paraId="0E12E122">
      <w:pPr>
        <w:pStyle w:val="6"/>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color w:val="000000"/>
          <w:sz w:val="32"/>
          <w:szCs w:val="32"/>
        </w:rPr>
        <w:t>第一节</w:t>
      </w:r>
      <w:r>
        <w:rPr>
          <w:rFonts w:hint="eastAsia" w:ascii="Times New Roman" w:hAnsi="Times New Roman" w:eastAsia="仿宋_GB2312" w:cs="仿宋_GB2312"/>
          <w:sz w:val="32"/>
          <w:szCs w:val="32"/>
          <w:lang w:val="en-US" w:eastAsia="zh-CN"/>
        </w:rPr>
        <w:t xml:space="preserve"> </w:t>
      </w:r>
      <w:r>
        <w:rPr>
          <w:rFonts w:hint="eastAsia" w:ascii="Times New Roman" w:hAnsi="Times New Roman" w:eastAsia="仿宋_GB2312" w:cs="仿宋_GB2312"/>
          <w:color w:val="000000"/>
          <w:sz w:val="32"/>
          <w:szCs w:val="32"/>
        </w:rPr>
        <w:t>区域单元划分标准</w:t>
      </w:r>
    </w:p>
    <w:p w14:paraId="54809C41">
      <w:pPr>
        <w:pStyle w:val="6"/>
        <w:keepNext w:val="0"/>
        <w:keepLines w:val="0"/>
        <w:pageBreakBefore w:val="0"/>
        <w:widowControl/>
        <w:suppressLineNumbers w:val="0"/>
        <w:kinsoku/>
        <w:wordWrap/>
        <w:overflowPunct/>
        <w:topLinePunct w:val="0"/>
        <w:autoSpaceDE/>
        <w:autoSpaceDN/>
        <w:bidi w:val="0"/>
        <w:adjustRightInd/>
        <w:snapToGrid/>
        <w:spacing w:line="560" w:lineRule="exact"/>
        <w:ind w:left="0" w:firstLine="640"/>
        <w:jc w:val="both"/>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color w:val="000000"/>
          <w:sz w:val="32"/>
          <w:szCs w:val="32"/>
        </w:rPr>
        <w:t>第五条</w:t>
      </w:r>
      <w:r>
        <w:rPr>
          <w:rFonts w:hint="eastAsia" w:ascii="Times New Roman" w:hAnsi="Times New Roman" w:eastAsia="仿宋_GB2312" w:cs="仿宋_GB2312"/>
          <w:color w:val="000000"/>
          <w:sz w:val="32"/>
          <w:szCs w:val="32"/>
          <w:lang w:val="en-US" w:eastAsia="zh-CN"/>
        </w:rPr>
        <w:t xml:space="preserve"> </w:t>
      </w:r>
      <w:r>
        <w:rPr>
          <w:rFonts w:hint="eastAsia" w:ascii="Times New Roman" w:hAnsi="Times New Roman" w:eastAsia="仿宋_GB2312" w:cs="仿宋_GB2312"/>
          <w:color w:val="000000"/>
          <w:sz w:val="32"/>
          <w:szCs w:val="32"/>
        </w:rPr>
        <w:t>依据福建省漳平市城镇居民居住区域的特点，结合城</w:t>
      </w:r>
      <w:r>
        <w:rPr>
          <w:rFonts w:hint="eastAsia" w:ascii="Times New Roman" w:hAnsi="Times New Roman" w:eastAsia="仿宋_GB2312" w:cs="仿宋_GB2312"/>
          <w:color w:val="000000"/>
          <w:spacing w:val="-6"/>
          <w:kern w:val="0"/>
          <w:sz w:val="32"/>
          <w:szCs w:val="32"/>
          <w:lang w:val="en-US" w:eastAsia="zh-CN" w:bidi="ar"/>
        </w:rPr>
        <w:t>乡建设规划、市场类型等因素，将烟草制品零售市场划分为城区、</w:t>
      </w:r>
      <w:r>
        <w:rPr>
          <w:rFonts w:hint="eastAsia" w:ascii="Times New Roman" w:hAnsi="Times New Roman" w:eastAsia="仿宋_GB2312" w:cs="仿宋_GB2312"/>
          <w:color w:val="000000"/>
          <w:sz w:val="32"/>
          <w:szCs w:val="32"/>
        </w:rPr>
        <w:t>镇区、行政村三大区域类型。</w:t>
      </w:r>
    </w:p>
    <w:p w14:paraId="43269FE5">
      <w:pPr>
        <w:pStyle w:val="6"/>
        <w:keepNext w:val="0"/>
        <w:keepLines w:val="0"/>
        <w:pageBreakBefore w:val="0"/>
        <w:widowControl/>
        <w:suppressLineNumbers w:val="0"/>
        <w:kinsoku/>
        <w:wordWrap/>
        <w:overflowPunct/>
        <w:topLinePunct w:val="0"/>
        <w:autoSpaceDE/>
        <w:autoSpaceDN/>
        <w:bidi w:val="0"/>
        <w:adjustRightInd/>
        <w:snapToGrid/>
        <w:spacing w:line="560" w:lineRule="exact"/>
        <w:ind w:left="0" w:firstLine="640"/>
        <w:jc w:val="both"/>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color w:val="000000"/>
          <w:sz w:val="32"/>
          <w:szCs w:val="32"/>
        </w:rPr>
        <w:t>第六条</w:t>
      </w:r>
      <w:r>
        <w:rPr>
          <w:rFonts w:hint="eastAsia" w:ascii="Times New Roman" w:hAnsi="Times New Roman" w:eastAsia="仿宋_GB2312" w:cs="仿宋_GB2312"/>
          <w:color w:val="000000"/>
          <w:sz w:val="32"/>
          <w:szCs w:val="32"/>
          <w:lang w:val="en-US" w:eastAsia="zh-CN"/>
        </w:rPr>
        <w:t xml:space="preserve"> </w:t>
      </w:r>
      <w:r>
        <w:rPr>
          <w:rFonts w:hint="eastAsia" w:ascii="Times New Roman" w:hAnsi="Times New Roman" w:eastAsia="仿宋_GB2312" w:cs="仿宋_GB2312"/>
          <w:color w:val="000000"/>
          <w:sz w:val="32"/>
          <w:szCs w:val="32"/>
        </w:rPr>
        <w:t>按以下标准将城区、镇区、行政村划分为若干个区域单元：</w:t>
      </w:r>
    </w:p>
    <w:p w14:paraId="4BBFAB6C">
      <w:pPr>
        <w:pStyle w:val="6"/>
        <w:keepNext w:val="0"/>
        <w:keepLines w:val="0"/>
        <w:pageBreakBefore w:val="0"/>
        <w:widowControl/>
        <w:suppressLineNumbers w:val="0"/>
        <w:kinsoku/>
        <w:wordWrap/>
        <w:overflowPunct/>
        <w:topLinePunct w:val="0"/>
        <w:autoSpaceDE/>
        <w:autoSpaceDN/>
        <w:bidi w:val="0"/>
        <w:adjustRightInd/>
        <w:snapToGrid/>
        <w:spacing w:line="560" w:lineRule="exact"/>
        <w:ind w:left="0" w:firstLine="640"/>
        <w:jc w:val="both"/>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color w:val="000000"/>
          <w:sz w:val="32"/>
          <w:szCs w:val="32"/>
        </w:rPr>
        <w:t>（一）城区、镇区所在地零售点规划方式。以城市交通道路、特定参照物、居民小区等自然分割形成的平面区域为基础，划分出若干区域单元。</w:t>
      </w:r>
    </w:p>
    <w:p w14:paraId="50BEFC1A">
      <w:pPr>
        <w:pStyle w:val="6"/>
        <w:keepNext w:val="0"/>
        <w:keepLines w:val="0"/>
        <w:pageBreakBefore w:val="0"/>
        <w:widowControl/>
        <w:suppressLineNumbers w:val="0"/>
        <w:kinsoku/>
        <w:wordWrap/>
        <w:overflowPunct/>
        <w:topLinePunct w:val="0"/>
        <w:autoSpaceDE/>
        <w:autoSpaceDN/>
        <w:bidi w:val="0"/>
        <w:adjustRightInd/>
        <w:snapToGrid/>
        <w:spacing w:line="560" w:lineRule="exact"/>
        <w:ind w:left="0" w:firstLine="640"/>
        <w:jc w:val="both"/>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color w:val="000000"/>
          <w:sz w:val="32"/>
          <w:szCs w:val="32"/>
        </w:rPr>
        <w:t>（二）行政村零售点原则上实行“一村一区域”的规划方式，对同一市场覆盖下的相邻行政村可以划为一个区域单元。</w:t>
      </w:r>
    </w:p>
    <w:p w14:paraId="5AF05634">
      <w:pPr>
        <w:pStyle w:val="6"/>
        <w:keepNext w:val="0"/>
        <w:keepLines w:val="0"/>
        <w:pageBreakBefore w:val="0"/>
        <w:widowControl/>
        <w:suppressLineNumbers w:val="0"/>
        <w:kinsoku/>
        <w:wordWrap/>
        <w:overflowPunct/>
        <w:topLinePunct w:val="0"/>
        <w:autoSpaceDE/>
        <w:autoSpaceDN/>
        <w:bidi w:val="0"/>
        <w:adjustRightInd/>
        <w:snapToGrid/>
        <w:spacing w:line="560" w:lineRule="exact"/>
        <w:ind w:left="0" w:firstLine="64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000000"/>
          <w:sz w:val="32"/>
          <w:szCs w:val="32"/>
        </w:rPr>
        <w:t>第七条</w:t>
      </w:r>
      <w:r>
        <w:rPr>
          <w:rFonts w:hint="eastAsia" w:ascii="Times New Roman" w:hAnsi="Times New Roman" w:eastAsia="仿宋_GB2312" w:cs="仿宋_GB2312"/>
          <w:color w:val="000000"/>
          <w:sz w:val="32"/>
          <w:szCs w:val="32"/>
          <w:lang w:val="en-US" w:eastAsia="zh-CN"/>
        </w:rPr>
        <w:t xml:space="preserve"> </w:t>
      </w:r>
      <w:r>
        <w:rPr>
          <w:rFonts w:hint="eastAsia" w:ascii="Times New Roman" w:hAnsi="Times New Roman" w:eastAsia="仿宋_GB2312" w:cs="仿宋_GB2312"/>
          <w:color w:val="000000"/>
          <w:sz w:val="32"/>
          <w:szCs w:val="32"/>
        </w:rPr>
        <w:t>依据辖区内人口数量、交通状况、经济发展水平、消</w:t>
      </w:r>
      <w:r>
        <w:rPr>
          <w:rFonts w:hint="eastAsia" w:ascii="Times New Roman" w:hAnsi="Times New Roman" w:eastAsia="仿宋_GB2312" w:cs="仿宋_GB2312"/>
          <w:color w:val="auto"/>
          <w:sz w:val="32"/>
          <w:szCs w:val="32"/>
        </w:rPr>
        <w:t>费能力、零售户盈利水平等因素，将区域单元内不同路段划分为一类区</w:t>
      </w:r>
      <w:r>
        <w:rPr>
          <w:rFonts w:hint="eastAsia" w:ascii="Times New Roman" w:hAnsi="Times New Roman" w:eastAsia="仿宋_GB2312" w:cs="仿宋_GB2312"/>
          <w:color w:val="auto"/>
          <w:sz w:val="32"/>
          <w:szCs w:val="32"/>
          <w:lang w:eastAsia="zh-CN"/>
        </w:rPr>
        <w:t>、</w:t>
      </w:r>
      <w:r>
        <w:rPr>
          <w:rFonts w:hint="eastAsia" w:ascii="Times New Roman" w:hAnsi="Times New Roman" w:eastAsia="仿宋_GB2312" w:cs="仿宋_GB2312"/>
          <w:color w:val="auto"/>
          <w:sz w:val="32"/>
          <w:szCs w:val="32"/>
          <w:lang w:val="en-US" w:eastAsia="zh-CN"/>
        </w:rPr>
        <w:t>二类区</w:t>
      </w:r>
      <w:r>
        <w:rPr>
          <w:rFonts w:hint="eastAsia" w:ascii="Times New Roman" w:hAnsi="Times New Roman" w:eastAsia="仿宋_GB2312" w:cs="仿宋_GB2312"/>
          <w:color w:val="auto"/>
          <w:sz w:val="32"/>
          <w:szCs w:val="32"/>
        </w:rPr>
        <w:t>和</w:t>
      </w:r>
      <w:r>
        <w:rPr>
          <w:rFonts w:hint="eastAsia" w:ascii="Times New Roman" w:hAnsi="Times New Roman" w:eastAsia="仿宋_GB2312" w:cs="仿宋_GB2312"/>
          <w:color w:val="auto"/>
          <w:sz w:val="32"/>
          <w:szCs w:val="32"/>
          <w:lang w:val="en-US" w:eastAsia="zh-CN"/>
        </w:rPr>
        <w:t>三</w:t>
      </w:r>
      <w:r>
        <w:rPr>
          <w:rFonts w:hint="eastAsia" w:ascii="Times New Roman" w:hAnsi="Times New Roman" w:eastAsia="仿宋_GB2312" w:cs="仿宋_GB2312"/>
          <w:color w:val="auto"/>
          <w:sz w:val="32"/>
          <w:szCs w:val="32"/>
          <w:lang w:eastAsia="zh-CN"/>
        </w:rPr>
        <w:t>类区</w:t>
      </w:r>
      <w:r>
        <w:rPr>
          <w:rFonts w:hint="eastAsia" w:ascii="Times New Roman" w:hAnsi="Times New Roman" w:eastAsia="仿宋_GB2312" w:cs="仿宋_GB2312"/>
          <w:color w:val="auto"/>
          <w:sz w:val="32"/>
          <w:szCs w:val="32"/>
        </w:rPr>
        <w:t>。</w:t>
      </w:r>
    </w:p>
    <w:p w14:paraId="15196618">
      <w:pPr>
        <w:pStyle w:val="6"/>
        <w:keepNext w:val="0"/>
        <w:keepLines w:val="0"/>
        <w:pageBreakBefore w:val="0"/>
        <w:widowControl/>
        <w:suppressLineNumbers w:val="0"/>
        <w:kinsoku/>
        <w:wordWrap/>
        <w:overflowPunct/>
        <w:topLinePunct w:val="0"/>
        <w:autoSpaceDE/>
        <w:autoSpaceDN/>
        <w:bidi w:val="0"/>
        <w:adjustRightInd/>
        <w:snapToGrid/>
        <w:spacing w:line="560" w:lineRule="exact"/>
        <w:ind w:left="0" w:firstLine="640"/>
        <w:jc w:val="both"/>
        <w:textAlignment w:val="auto"/>
        <w:rPr>
          <w:rFonts w:hint="eastAsia" w:ascii="Times New Roman" w:hAnsi="Times New Roman" w:eastAsia="仿宋_GB2312" w:cs="仿宋_GB2312"/>
          <w:color w:val="auto"/>
          <w:sz w:val="32"/>
          <w:szCs w:val="32"/>
          <w:highlight w:val="none"/>
          <w:lang w:eastAsia="zh-CN"/>
        </w:rPr>
      </w:pPr>
      <w:r>
        <w:rPr>
          <w:rFonts w:hint="eastAsia" w:ascii="Times New Roman" w:hAnsi="Times New Roman" w:eastAsia="仿宋_GB2312" w:cs="仿宋_GB2312"/>
          <w:color w:val="auto"/>
          <w:sz w:val="32"/>
          <w:szCs w:val="32"/>
          <w:highlight w:val="none"/>
        </w:rPr>
        <w:t>一类区：指城区人口密度高</w:t>
      </w:r>
      <w:r>
        <w:rPr>
          <w:rFonts w:hint="eastAsia" w:ascii="Times New Roman" w:hAnsi="Times New Roman" w:eastAsia="仿宋_GB2312" w:cs="仿宋_GB2312"/>
          <w:color w:val="auto"/>
          <w:sz w:val="32"/>
          <w:szCs w:val="32"/>
          <w:highlight w:val="none"/>
          <w:lang w:eastAsia="zh-CN"/>
        </w:rPr>
        <w:t>、</w:t>
      </w:r>
      <w:r>
        <w:rPr>
          <w:rFonts w:hint="eastAsia" w:ascii="Times New Roman" w:hAnsi="Times New Roman" w:eastAsia="仿宋_GB2312" w:cs="仿宋_GB2312"/>
          <w:color w:val="auto"/>
          <w:sz w:val="32"/>
          <w:szCs w:val="32"/>
          <w:highlight w:val="none"/>
        </w:rPr>
        <w:t>人流数量大</w:t>
      </w:r>
      <w:r>
        <w:rPr>
          <w:rFonts w:hint="eastAsia" w:ascii="Times New Roman" w:hAnsi="Times New Roman" w:eastAsia="仿宋_GB2312" w:cs="仿宋_GB2312"/>
          <w:color w:val="auto"/>
          <w:sz w:val="32"/>
          <w:szCs w:val="32"/>
          <w:highlight w:val="none"/>
          <w:lang w:eastAsia="zh-CN"/>
        </w:rPr>
        <w:t>、</w:t>
      </w:r>
      <w:r>
        <w:rPr>
          <w:rFonts w:hint="eastAsia" w:ascii="Times New Roman" w:hAnsi="Times New Roman" w:eastAsia="仿宋_GB2312" w:cs="仿宋_GB2312"/>
          <w:color w:val="auto"/>
          <w:sz w:val="32"/>
          <w:szCs w:val="32"/>
          <w:highlight w:val="none"/>
        </w:rPr>
        <w:t>居民消费能力强和零售户销售能力强的城区</w:t>
      </w:r>
      <w:r>
        <w:rPr>
          <w:rFonts w:hint="eastAsia" w:ascii="Times New Roman" w:hAnsi="Times New Roman" w:eastAsia="仿宋_GB2312" w:cs="仿宋_GB2312"/>
          <w:color w:val="auto"/>
          <w:sz w:val="32"/>
          <w:szCs w:val="32"/>
          <w:highlight w:val="none"/>
          <w:lang w:val="en-US" w:eastAsia="zh-CN"/>
        </w:rPr>
        <w:t>繁华商业区、休闲步行街区和城区主、次干道沿街</w:t>
      </w:r>
      <w:r>
        <w:rPr>
          <w:rFonts w:hint="eastAsia" w:ascii="Times New Roman" w:hAnsi="Times New Roman" w:eastAsia="仿宋_GB2312" w:cs="仿宋_GB2312"/>
          <w:color w:val="auto"/>
          <w:sz w:val="32"/>
          <w:szCs w:val="32"/>
          <w:highlight w:val="none"/>
          <w:lang w:eastAsia="zh-CN"/>
        </w:rPr>
        <w:t>。</w:t>
      </w:r>
    </w:p>
    <w:p w14:paraId="5F21DC30">
      <w:pPr>
        <w:pStyle w:val="6"/>
        <w:keepNext w:val="0"/>
        <w:keepLines w:val="0"/>
        <w:pageBreakBefore w:val="0"/>
        <w:widowControl/>
        <w:suppressLineNumbers w:val="0"/>
        <w:kinsoku/>
        <w:wordWrap/>
        <w:overflowPunct/>
        <w:topLinePunct w:val="0"/>
        <w:autoSpaceDE/>
        <w:autoSpaceDN/>
        <w:bidi w:val="0"/>
        <w:adjustRightInd/>
        <w:snapToGrid/>
        <w:spacing w:line="560" w:lineRule="exact"/>
        <w:ind w:left="0" w:firstLine="640"/>
        <w:jc w:val="both"/>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lang w:eastAsia="zh-CN"/>
        </w:rPr>
        <w:t>二类区</w:t>
      </w:r>
      <w:r>
        <w:rPr>
          <w:rFonts w:hint="eastAsia" w:ascii="Times New Roman" w:hAnsi="Times New Roman" w:eastAsia="仿宋_GB2312" w:cs="仿宋_GB2312"/>
          <w:color w:val="auto"/>
          <w:sz w:val="32"/>
          <w:szCs w:val="32"/>
          <w:highlight w:val="none"/>
        </w:rPr>
        <w:t>：</w:t>
      </w:r>
      <w:r>
        <w:rPr>
          <w:rFonts w:hint="eastAsia" w:ascii="Times New Roman" w:hAnsi="Times New Roman" w:eastAsia="仿宋_GB2312" w:cs="仿宋_GB2312"/>
          <w:color w:val="auto"/>
          <w:sz w:val="32"/>
          <w:szCs w:val="32"/>
          <w:highlight w:val="none"/>
          <w:lang w:eastAsia="zh-CN"/>
        </w:rPr>
        <w:t>城区一类区以外的区域</w:t>
      </w:r>
      <w:r>
        <w:rPr>
          <w:rFonts w:hint="eastAsia" w:ascii="Times New Roman" w:hAnsi="Times New Roman" w:eastAsia="仿宋_GB2312" w:cs="仿宋_GB2312"/>
          <w:color w:val="auto"/>
          <w:sz w:val="32"/>
          <w:szCs w:val="32"/>
          <w:highlight w:val="none"/>
          <w:lang w:val="en-US" w:eastAsia="zh-CN"/>
        </w:rPr>
        <w:t>和乡镇政府所在地主干道区域</w:t>
      </w:r>
      <w:r>
        <w:rPr>
          <w:rFonts w:hint="eastAsia" w:ascii="Times New Roman" w:hAnsi="Times New Roman" w:eastAsia="仿宋_GB2312" w:cs="仿宋_GB2312"/>
          <w:color w:val="auto"/>
          <w:sz w:val="32"/>
          <w:szCs w:val="32"/>
          <w:highlight w:val="none"/>
        </w:rPr>
        <w:t>。</w:t>
      </w:r>
    </w:p>
    <w:p w14:paraId="0BA2E817">
      <w:pPr>
        <w:pStyle w:val="6"/>
        <w:keepNext w:val="0"/>
        <w:keepLines w:val="0"/>
        <w:pageBreakBefore w:val="0"/>
        <w:widowControl/>
        <w:suppressLineNumbers w:val="0"/>
        <w:kinsoku/>
        <w:wordWrap/>
        <w:overflowPunct/>
        <w:topLinePunct w:val="0"/>
        <w:autoSpaceDE/>
        <w:autoSpaceDN/>
        <w:bidi w:val="0"/>
        <w:adjustRightInd/>
        <w:snapToGrid/>
        <w:spacing w:line="560" w:lineRule="exact"/>
        <w:ind w:left="0" w:firstLine="64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lang w:val="en-US" w:eastAsia="zh-CN"/>
        </w:rPr>
        <w:t>三</w:t>
      </w:r>
      <w:r>
        <w:rPr>
          <w:rFonts w:hint="eastAsia" w:ascii="Times New Roman" w:hAnsi="Times New Roman" w:eastAsia="仿宋_GB2312" w:cs="仿宋_GB2312"/>
          <w:color w:val="auto"/>
          <w:sz w:val="32"/>
          <w:szCs w:val="32"/>
          <w:lang w:eastAsia="zh-CN"/>
        </w:rPr>
        <w:t>类区</w:t>
      </w:r>
      <w:r>
        <w:rPr>
          <w:rFonts w:hint="eastAsia" w:ascii="Times New Roman" w:hAnsi="Times New Roman" w:eastAsia="仿宋_GB2312" w:cs="仿宋_GB2312"/>
          <w:color w:val="auto"/>
          <w:sz w:val="32"/>
          <w:szCs w:val="32"/>
        </w:rPr>
        <w:t>：</w:t>
      </w:r>
      <w:r>
        <w:rPr>
          <w:rFonts w:hint="eastAsia" w:ascii="Times New Roman" w:hAnsi="Times New Roman" w:eastAsia="仿宋_GB2312" w:cs="仿宋_GB2312"/>
          <w:color w:val="auto"/>
          <w:sz w:val="32"/>
          <w:szCs w:val="32"/>
          <w:lang w:val="en-US" w:eastAsia="zh-CN"/>
        </w:rPr>
        <w:t>乡镇政府所在地主干道以外的区域和</w:t>
      </w:r>
      <w:r>
        <w:rPr>
          <w:rFonts w:hint="eastAsia" w:ascii="Times New Roman" w:hAnsi="Times New Roman" w:eastAsia="仿宋_GB2312" w:cs="仿宋_GB2312"/>
          <w:color w:val="auto"/>
          <w:sz w:val="32"/>
          <w:szCs w:val="32"/>
        </w:rPr>
        <w:t>行政村。</w:t>
      </w:r>
    </w:p>
    <w:p w14:paraId="528EF0E2">
      <w:pPr>
        <w:pStyle w:val="6"/>
        <w:keepNext w:val="0"/>
        <w:keepLines w:val="0"/>
        <w:pageBreakBefore w:val="0"/>
        <w:widowControl/>
        <w:suppressLineNumbers w:val="0"/>
        <w:kinsoku/>
        <w:wordWrap/>
        <w:overflowPunct/>
        <w:topLinePunct w:val="0"/>
        <w:autoSpaceDE/>
        <w:autoSpaceDN/>
        <w:bidi w:val="0"/>
        <w:adjustRightInd/>
        <w:snapToGrid/>
        <w:spacing w:line="560" w:lineRule="exact"/>
        <w:ind w:left="0" w:firstLine="64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第八条</w:t>
      </w:r>
      <w:r>
        <w:rPr>
          <w:rFonts w:hint="eastAsia" w:ascii="Times New Roman" w:hAnsi="Times New Roman" w:eastAsia="仿宋_GB2312" w:cs="仿宋_GB2312"/>
          <w:color w:val="auto"/>
          <w:sz w:val="32"/>
          <w:szCs w:val="32"/>
          <w:lang w:val="en-US" w:eastAsia="zh-CN"/>
        </w:rPr>
        <w:t xml:space="preserve"> </w:t>
      </w:r>
      <w:r>
        <w:rPr>
          <w:rFonts w:hint="eastAsia" w:ascii="Times New Roman" w:hAnsi="Times New Roman" w:eastAsia="仿宋_GB2312" w:cs="仿宋_GB2312"/>
          <w:color w:val="auto"/>
          <w:sz w:val="32"/>
          <w:szCs w:val="32"/>
        </w:rPr>
        <w:t>区域单元内零售点规划数量的设置应当科学合理，综合考虑持证零售点的盈利水平、经营成本、历史销量、辐射面积、业态类型以及区域单元人口数量、结构和繁荣程度等因素。</w:t>
      </w:r>
    </w:p>
    <w:p w14:paraId="7710C438">
      <w:pPr>
        <w:pStyle w:val="6"/>
        <w:keepNext w:val="0"/>
        <w:keepLines w:val="0"/>
        <w:pageBreakBefore w:val="0"/>
        <w:widowControl/>
        <w:suppressLineNumbers w:val="0"/>
        <w:kinsoku/>
        <w:wordWrap/>
        <w:overflowPunct/>
        <w:topLinePunct w:val="0"/>
        <w:autoSpaceDE/>
        <w:autoSpaceDN/>
        <w:bidi w:val="0"/>
        <w:adjustRightInd/>
        <w:snapToGrid/>
        <w:spacing w:line="560" w:lineRule="exact"/>
        <w:ind w:left="0" w:firstLine="64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第九条</w:t>
      </w:r>
      <w:r>
        <w:rPr>
          <w:rFonts w:hint="eastAsia" w:ascii="Times New Roman" w:hAnsi="Times New Roman" w:eastAsia="仿宋_GB2312" w:cs="仿宋_GB2312"/>
          <w:color w:val="auto"/>
          <w:sz w:val="32"/>
          <w:szCs w:val="32"/>
          <w:lang w:val="en-US" w:eastAsia="zh-CN"/>
        </w:rPr>
        <w:t xml:space="preserve"> </w:t>
      </w:r>
      <w:r>
        <w:rPr>
          <w:rFonts w:hint="eastAsia" w:ascii="Times New Roman" w:hAnsi="Times New Roman" w:eastAsia="仿宋_GB2312" w:cs="仿宋_GB2312"/>
          <w:color w:val="auto"/>
          <w:sz w:val="32"/>
          <w:szCs w:val="32"/>
        </w:rPr>
        <w:t>区域单元、区域类区的划分与零售点规划数量每年发布一次，并向社会公开。</w:t>
      </w:r>
    </w:p>
    <w:p w14:paraId="087F89DA">
      <w:pPr>
        <w:pStyle w:val="6"/>
        <w:keepNext w:val="0"/>
        <w:keepLines w:val="0"/>
        <w:pageBreakBefore w:val="0"/>
        <w:widowControl/>
        <w:suppressLineNumbers w:val="0"/>
        <w:kinsoku/>
        <w:wordWrap/>
        <w:overflowPunct/>
        <w:topLinePunct w:val="0"/>
        <w:autoSpaceDE/>
        <w:autoSpaceDN/>
        <w:bidi w:val="0"/>
        <w:adjustRightInd/>
        <w:snapToGrid/>
        <w:spacing w:line="560" w:lineRule="exact"/>
        <w:ind w:left="0" w:firstLine="64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区域单元内持证零售点数量的增减情况于每月适时在办证大厅公布。</w:t>
      </w:r>
    </w:p>
    <w:p w14:paraId="7B1DC6E1">
      <w:pPr>
        <w:pStyle w:val="6"/>
        <w:keepNext w:val="0"/>
        <w:keepLines w:val="0"/>
        <w:pageBreakBefore w:val="0"/>
        <w:widowControl/>
        <w:suppressLineNumbers w:val="0"/>
        <w:kinsoku/>
        <w:wordWrap/>
        <w:overflowPunct/>
        <w:topLinePunct w:val="0"/>
        <w:autoSpaceDE/>
        <w:autoSpaceDN/>
        <w:bidi w:val="0"/>
        <w:adjustRightInd/>
        <w:snapToGrid/>
        <w:spacing w:line="560" w:lineRule="exact"/>
        <w:ind w:left="0" w:firstLine="64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第十条</w:t>
      </w:r>
      <w:r>
        <w:rPr>
          <w:rFonts w:hint="eastAsia" w:ascii="Times New Roman" w:hAnsi="Times New Roman" w:eastAsia="仿宋_GB2312" w:cs="仿宋_GB2312"/>
          <w:color w:val="auto"/>
          <w:sz w:val="32"/>
          <w:szCs w:val="32"/>
          <w:lang w:val="en-US" w:eastAsia="zh-CN"/>
        </w:rPr>
        <w:t xml:space="preserve"> </w:t>
      </w:r>
      <w:r>
        <w:rPr>
          <w:rFonts w:hint="eastAsia" w:ascii="Times New Roman" w:hAnsi="Times New Roman" w:eastAsia="仿宋_GB2312" w:cs="仿宋_GB2312"/>
          <w:color w:val="auto"/>
          <w:sz w:val="32"/>
          <w:szCs w:val="32"/>
        </w:rPr>
        <w:t>漳平市烟草专卖局可根据社会经济、人口数量、区域建设、规划调整、道路交通等因素的变化，对辖区局部的区域单元、区域类区和零售点规划数量进行调整，并向社会发布实施。</w:t>
      </w:r>
    </w:p>
    <w:p w14:paraId="7B57C9A1">
      <w:pPr>
        <w:pStyle w:val="6"/>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第二节</w:t>
      </w:r>
      <w:r>
        <w:rPr>
          <w:rFonts w:hint="eastAsia" w:ascii="Times New Roman" w:hAnsi="Times New Roman" w:eastAsia="仿宋_GB2312" w:cs="仿宋_GB2312"/>
          <w:color w:val="auto"/>
          <w:sz w:val="32"/>
          <w:szCs w:val="32"/>
          <w:lang w:val="en-US" w:eastAsia="zh-CN"/>
        </w:rPr>
        <w:t xml:space="preserve"> </w:t>
      </w:r>
      <w:r>
        <w:rPr>
          <w:rFonts w:hint="eastAsia" w:ascii="Times New Roman" w:hAnsi="Times New Roman" w:eastAsia="仿宋_GB2312" w:cs="仿宋_GB2312"/>
          <w:color w:val="auto"/>
          <w:sz w:val="32"/>
          <w:szCs w:val="32"/>
        </w:rPr>
        <w:t>零售点设定标准</w:t>
      </w:r>
    </w:p>
    <w:p w14:paraId="5BC87AF3">
      <w:pPr>
        <w:pStyle w:val="6"/>
        <w:keepNext w:val="0"/>
        <w:keepLines w:val="0"/>
        <w:pageBreakBefore w:val="0"/>
        <w:widowControl/>
        <w:suppressLineNumbers w:val="0"/>
        <w:kinsoku/>
        <w:wordWrap/>
        <w:overflowPunct/>
        <w:topLinePunct w:val="0"/>
        <w:autoSpaceDE/>
        <w:autoSpaceDN/>
        <w:bidi w:val="0"/>
        <w:adjustRightInd/>
        <w:snapToGrid/>
        <w:spacing w:line="560" w:lineRule="exact"/>
        <w:ind w:left="0" w:firstLine="64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第十一条</w:t>
      </w:r>
      <w:r>
        <w:rPr>
          <w:rFonts w:hint="eastAsia" w:ascii="Times New Roman" w:hAnsi="Times New Roman" w:eastAsia="仿宋_GB2312" w:cs="仿宋_GB2312"/>
          <w:color w:val="auto"/>
          <w:sz w:val="32"/>
          <w:szCs w:val="32"/>
          <w:lang w:val="en-US" w:eastAsia="zh-CN"/>
        </w:rPr>
        <w:t xml:space="preserve"> </w:t>
      </w:r>
      <w:r>
        <w:rPr>
          <w:rFonts w:hint="eastAsia" w:ascii="Times New Roman" w:hAnsi="Times New Roman" w:eastAsia="仿宋_GB2312" w:cs="仿宋_GB2312"/>
          <w:color w:val="auto"/>
          <w:sz w:val="32"/>
          <w:szCs w:val="32"/>
        </w:rPr>
        <w:t>对零售点设置实行间距控制：</w:t>
      </w:r>
    </w:p>
    <w:p w14:paraId="2CF07CF7">
      <w:pPr>
        <w:pStyle w:val="6"/>
        <w:keepNext w:val="0"/>
        <w:keepLines w:val="0"/>
        <w:pageBreakBefore w:val="0"/>
        <w:widowControl/>
        <w:suppressLineNumbers w:val="0"/>
        <w:kinsoku/>
        <w:wordWrap/>
        <w:overflowPunct/>
        <w:topLinePunct w:val="0"/>
        <w:autoSpaceDE/>
        <w:autoSpaceDN/>
        <w:bidi w:val="0"/>
        <w:adjustRightInd/>
        <w:snapToGrid/>
        <w:spacing w:line="560" w:lineRule="exact"/>
        <w:ind w:left="0" w:firstLine="64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（一）一类区：零售点可行间距在</w:t>
      </w:r>
      <w:r>
        <w:rPr>
          <w:rFonts w:hint="eastAsia" w:ascii="Times New Roman" w:hAnsi="Times New Roman" w:eastAsia="仿宋_GB2312" w:cs="仿宋_GB2312"/>
          <w:color w:val="auto"/>
          <w:sz w:val="32"/>
          <w:szCs w:val="32"/>
          <w:lang w:val="en-US" w:eastAsia="zh-CN"/>
        </w:rPr>
        <w:t>50</w:t>
      </w:r>
      <w:r>
        <w:rPr>
          <w:rFonts w:hint="eastAsia" w:ascii="Times New Roman" w:hAnsi="Times New Roman" w:eastAsia="仿宋_GB2312" w:cs="仿宋_GB2312"/>
          <w:color w:val="auto"/>
          <w:sz w:val="32"/>
          <w:szCs w:val="32"/>
        </w:rPr>
        <w:t>米以上；</w:t>
      </w:r>
    </w:p>
    <w:p w14:paraId="78E2CE5A">
      <w:pPr>
        <w:pStyle w:val="6"/>
        <w:keepNext w:val="0"/>
        <w:keepLines w:val="0"/>
        <w:pageBreakBefore w:val="0"/>
        <w:widowControl/>
        <w:suppressLineNumbers w:val="0"/>
        <w:kinsoku/>
        <w:wordWrap/>
        <w:overflowPunct/>
        <w:topLinePunct w:val="0"/>
        <w:autoSpaceDE/>
        <w:autoSpaceDN/>
        <w:bidi w:val="0"/>
        <w:adjustRightInd/>
        <w:snapToGrid/>
        <w:spacing w:line="560" w:lineRule="exact"/>
        <w:ind w:left="0" w:firstLine="64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（二）</w:t>
      </w:r>
      <w:r>
        <w:rPr>
          <w:rFonts w:hint="eastAsia" w:ascii="Times New Roman" w:hAnsi="Times New Roman" w:eastAsia="仿宋_GB2312" w:cs="仿宋_GB2312"/>
          <w:color w:val="auto"/>
          <w:sz w:val="32"/>
          <w:szCs w:val="32"/>
          <w:lang w:eastAsia="zh-CN"/>
        </w:rPr>
        <w:t>二类区</w:t>
      </w:r>
      <w:r>
        <w:rPr>
          <w:rFonts w:hint="eastAsia" w:ascii="Times New Roman" w:hAnsi="Times New Roman" w:eastAsia="仿宋_GB2312" w:cs="仿宋_GB2312"/>
          <w:color w:val="auto"/>
          <w:sz w:val="32"/>
          <w:szCs w:val="32"/>
        </w:rPr>
        <w:t>：零售点可行间距在</w:t>
      </w:r>
      <w:r>
        <w:rPr>
          <w:rFonts w:hint="eastAsia" w:ascii="Times New Roman" w:hAnsi="Times New Roman" w:eastAsia="仿宋_GB2312" w:cs="仿宋_GB2312"/>
          <w:color w:val="auto"/>
          <w:sz w:val="32"/>
          <w:szCs w:val="32"/>
          <w:lang w:val="en-US" w:eastAsia="zh-CN"/>
        </w:rPr>
        <w:t>100</w:t>
      </w:r>
      <w:r>
        <w:rPr>
          <w:rFonts w:hint="eastAsia" w:ascii="Times New Roman" w:hAnsi="Times New Roman" w:eastAsia="仿宋_GB2312" w:cs="仿宋_GB2312"/>
          <w:color w:val="auto"/>
          <w:sz w:val="32"/>
          <w:szCs w:val="32"/>
        </w:rPr>
        <w:t>米以上。</w:t>
      </w:r>
    </w:p>
    <w:p w14:paraId="356E7C93">
      <w:pPr>
        <w:pStyle w:val="6"/>
        <w:keepNext w:val="0"/>
        <w:keepLines w:val="0"/>
        <w:pageBreakBefore w:val="0"/>
        <w:widowControl/>
        <w:suppressLineNumbers w:val="0"/>
        <w:kinsoku/>
        <w:wordWrap/>
        <w:overflowPunct/>
        <w:topLinePunct w:val="0"/>
        <w:autoSpaceDE/>
        <w:autoSpaceDN/>
        <w:bidi w:val="0"/>
        <w:adjustRightInd/>
        <w:snapToGrid/>
        <w:spacing w:line="560" w:lineRule="exact"/>
        <w:ind w:left="0" w:firstLine="64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w:t>
      </w:r>
      <w:r>
        <w:rPr>
          <w:rFonts w:hint="eastAsia" w:ascii="Times New Roman" w:hAnsi="Times New Roman" w:eastAsia="仿宋_GB2312" w:cs="仿宋_GB2312"/>
          <w:color w:val="auto"/>
          <w:sz w:val="32"/>
          <w:szCs w:val="32"/>
          <w:lang w:val="en-US" w:eastAsia="zh-CN"/>
        </w:rPr>
        <w:t>三</w:t>
      </w:r>
      <w:r>
        <w:rPr>
          <w:rFonts w:hint="eastAsia" w:ascii="Times New Roman" w:hAnsi="Times New Roman" w:eastAsia="仿宋_GB2312" w:cs="仿宋_GB2312"/>
          <w:color w:val="auto"/>
          <w:sz w:val="32"/>
          <w:szCs w:val="32"/>
        </w:rPr>
        <w:t>）</w:t>
      </w:r>
      <w:r>
        <w:rPr>
          <w:rFonts w:hint="eastAsia" w:ascii="Times New Roman" w:hAnsi="Times New Roman" w:eastAsia="仿宋_GB2312" w:cs="仿宋_GB2312"/>
          <w:color w:val="auto"/>
          <w:sz w:val="32"/>
          <w:szCs w:val="32"/>
          <w:lang w:val="en-US" w:eastAsia="zh-CN"/>
        </w:rPr>
        <w:t>三</w:t>
      </w:r>
      <w:r>
        <w:rPr>
          <w:rFonts w:hint="eastAsia" w:ascii="Times New Roman" w:hAnsi="Times New Roman" w:eastAsia="仿宋_GB2312" w:cs="仿宋_GB2312"/>
          <w:color w:val="auto"/>
          <w:sz w:val="32"/>
          <w:szCs w:val="32"/>
          <w:lang w:eastAsia="zh-CN"/>
        </w:rPr>
        <w:t>类区</w:t>
      </w:r>
      <w:r>
        <w:rPr>
          <w:rFonts w:hint="eastAsia" w:ascii="Times New Roman" w:hAnsi="Times New Roman" w:eastAsia="仿宋_GB2312" w:cs="仿宋_GB2312"/>
          <w:color w:val="auto"/>
          <w:sz w:val="32"/>
          <w:szCs w:val="32"/>
        </w:rPr>
        <w:t>：零售点可行间距在</w:t>
      </w:r>
      <w:r>
        <w:rPr>
          <w:rFonts w:hint="eastAsia" w:ascii="Times New Roman" w:hAnsi="Times New Roman" w:eastAsia="仿宋_GB2312" w:cs="仿宋_GB2312"/>
          <w:color w:val="auto"/>
          <w:sz w:val="32"/>
          <w:szCs w:val="32"/>
          <w:lang w:val="en-US" w:eastAsia="zh-CN"/>
        </w:rPr>
        <w:t>200</w:t>
      </w:r>
      <w:r>
        <w:rPr>
          <w:rFonts w:hint="eastAsia" w:ascii="Times New Roman" w:hAnsi="Times New Roman" w:eastAsia="仿宋_GB2312" w:cs="仿宋_GB2312"/>
          <w:color w:val="auto"/>
          <w:sz w:val="32"/>
          <w:szCs w:val="32"/>
        </w:rPr>
        <w:t>米以上。</w:t>
      </w:r>
    </w:p>
    <w:p w14:paraId="55390DFD">
      <w:pPr>
        <w:pStyle w:val="6"/>
        <w:keepNext w:val="0"/>
        <w:keepLines w:val="0"/>
        <w:pageBreakBefore w:val="0"/>
        <w:widowControl/>
        <w:suppressLineNumbers w:val="0"/>
        <w:kinsoku/>
        <w:wordWrap/>
        <w:overflowPunct/>
        <w:topLinePunct w:val="0"/>
        <w:autoSpaceDE/>
        <w:autoSpaceDN/>
        <w:bidi w:val="0"/>
        <w:adjustRightInd/>
        <w:snapToGrid/>
        <w:spacing w:line="560" w:lineRule="exact"/>
        <w:ind w:left="0" w:firstLine="64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以申请新办零售点所处位置的类区与可行间距最近的不区分类区的持证零售点来认定零售点的间距要求。</w:t>
      </w:r>
    </w:p>
    <w:p w14:paraId="74E42126">
      <w:pPr>
        <w:pStyle w:val="6"/>
        <w:keepNext w:val="0"/>
        <w:keepLines w:val="0"/>
        <w:pageBreakBefore w:val="0"/>
        <w:widowControl/>
        <w:suppressLineNumbers w:val="0"/>
        <w:kinsoku/>
        <w:wordWrap/>
        <w:overflowPunct/>
        <w:topLinePunct w:val="0"/>
        <w:autoSpaceDE/>
        <w:autoSpaceDN/>
        <w:bidi w:val="0"/>
        <w:adjustRightInd/>
        <w:snapToGrid/>
        <w:spacing w:line="560" w:lineRule="exact"/>
        <w:ind w:left="0" w:firstLine="64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第十二条</w:t>
      </w:r>
      <w:r>
        <w:rPr>
          <w:rFonts w:hint="eastAsia" w:ascii="Times New Roman" w:hAnsi="Times New Roman" w:eastAsia="仿宋_GB2312" w:cs="仿宋_GB2312"/>
          <w:color w:val="auto"/>
          <w:sz w:val="32"/>
          <w:szCs w:val="32"/>
          <w:lang w:val="en-US" w:eastAsia="zh-CN"/>
        </w:rPr>
        <w:t xml:space="preserve"> </w:t>
      </w:r>
      <w:r>
        <w:rPr>
          <w:rFonts w:hint="eastAsia" w:ascii="Times New Roman" w:hAnsi="Times New Roman" w:eastAsia="仿宋_GB2312" w:cs="仿宋_GB2312"/>
          <w:color w:val="auto"/>
          <w:sz w:val="32"/>
          <w:szCs w:val="32"/>
        </w:rPr>
        <w:t>符合下列情形之一的，实行其他间距控制：</w:t>
      </w:r>
    </w:p>
    <w:p w14:paraId="4CCAC69A">
      <w:pPr>
        <w:pStyle w:val="6"/>
        <w:keepNext w:val="0"/>
        <w:keepLines w:val="0"/>
        <w:pageBreakBefore w:val="0"/>
        <w:widowControl/>
        <w:suppressLineNumbers w:val="0"/>
        <w:kinsoku/>
        <w:wordWrap/>
        <w:overflowPunct/>
        <w:topLinePunct w:val="0"/>
        <w:autoSpaceDE/>
        <w:autoSpaceDN/>
        <w:bidi w:val="0"/>
        <w:adjustRightInd/>
        <w:snapToGrid/>
        <w:spacing w:line="560" w:lineRule="exact"/>
        <w:ind w:left="0" w:firstLine="64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（一）封闭式住宅小区、城市综合体，封闭式综合市场或农贸市场内零售点间距在</w:t>
      </w:r>
      <w:r>
        <w:rPr>
          <w:rFonts w:hint="eastAsia" w:ascii="Times New Roman" w:hAnsi="Times New Roman" w:eastAsia="仿宋_GB2312" w:cs="仿宋_GB2312"/>
          <w:color w:val="auto"/>
          <w:sz w:val="32"/>
          <w:szCs w:val="32"/>
          <w:lang w:val="en-US" w:eastAsia="zh-CN"/>
        </w:rPr>
        <w:t>30</w:t>
      </w:r>
      <w:r>
        <w:rPr>
          <w:rFonts w:hint="eastAsia" w:ascii="Times New Roman" w:hAnsi="Times New Roman" w:eastAsia="仿宋_GB2312" w:cs="仿宋_GB2312"/>
          <w:color w:val="auto"/>
          <w:sz w:val="32"/>
          <w:szCs w:val="32"/>
        </w:rPr>
        <w:t>米以上；</w:t>
      </w:r>
    </w:p>
    <w:p w14:paraId="66967212">
      <w:pPr>
        <w:pStyle w:val="6"/>
        <w:keepNext w:val="0"/>
        <w:keepLines w:val="0"/>
        <w:pageBreakBefore w:val="0"/>
        <w:widowControl/>
        <w:suppressLineNumbers w:val="0"/>
        <w:kinsoku/>
        <w:wordWrap/>
        <w:overflowPunct/>
        <w:topLinePunct w:val="0"/>
        <w:autoSpaceDE/>
        <w:autoSpaceDN/>
        <w:bidi w:val="0"/>
        <w:adjustRightInd/>
        <w:snapToGrid/>
        <w:spacing w:line="560" w:lineRule="exact"/>
        <w:ind w:left="0" w:firstLine="64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（二）具有完全民事行为能力的一级、二级的视力、听力、语言、肢体残疾人和烈士、因公牺牲军人的配偶、父母、子女等需要从事烟草制品零售经营活动的，零售点间距按本规定第十一条对应类区间距要求的</w:t>
      </w:r>
      <w:r>
        <w:rPr>
          <w:rFonts w:hint="eastAsia" w:ascii="Times New Roman" w:hAnsi="Times New Roman" w:eastAsia="仿宋_GB2312" w:cs="仿宋_GB2312"/>
          <w:color w:val="auto"/>
          <w:sz w:val="32"/>
          <w:szCs w:val="32"/>
          <w:lang w:eastAsia="zh-CN"/>
        </w:rPr>
        <w:t>80%</w:t>
      </w:r>
      <w:r>
        <w:rPr>
          <w:rFonts w:hint="eastAsia" w:ascii="Times New Roman" w:hAnsi="Times New Roman" w:eastAsia="仿宋_GB2312" w:cs="仿宋_GB2312"/>
          <w:color w:val="auto"/>
          <w:sz w:val="32"/>
          <w:szCs w:val="32"/>
        </w:rPr>
        <w:t>给予帮扶，享受此政策的申请人在三年内无涉烟违法行为且只能适用一次；</w:t>
      </w:r>
    </w:p>
    <w:p w14:paraId="4CE10186">
      <w:pPr>
        <w:pStyle w:val="6"/>
        <w:keepNext w:val="0"/>
        <w:keepLines w:val="0"/>
        <w:pageBreakBefore w:val="0"/>
        <w:widowControl/>
        <w:suppressLineNumbers w:val="0"/>
        <w:kinsoku/>
        <w:wordWrap/>
        <w:overflowPunct/>
        <w:topLinePunct w:val="0"/>
        <w:autoSpaceDE/>
        <w:autoSpaceDN/>
        <w:bidi w:val="0"/>
        <w:adjustRightInd/>
        <w:snapToGrid/>
        <w:spacing w:line="560" w:lineRule="exact"/>
        <w:ind w:left="0" w:firstLine="64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三）符合《福建省交通运输厅等14部门印发关于进一步加快推进农村客货邮融合发展九条措施的通知》（闽交融办〔2024〕4号）文件要求的乡、村融合站点需要从事烟草制品零售经营活动的，零售点间距按本规定第十一条对应类区间距要求的</w:t>
      </w:r>
      <w:r>
        <w:rPr>
          <w:rFonts w:hint="eastAsia" w:ascii="Times New Roman" w:hAnsi="Times New Roman" w:eastAsia="仿宋_GB2312" w:cs="仿宋_GB2312"/>
          <w:color w:val="auto"/>
          <w:sz w:val="32"/>
          <w:szCs w:val="32"/>
          <w:lang w:eastAsia="zh-CN"/>
        </w:rPr>
        <w:t>80%</w:t>
      </w:r>
      <w:r>
        <w:rPr>
          <w:rFonts w:hint="eastAsia" w:ascii="Times New Roman" w:hAnsi="Times New Roman" w:eastAsia="仿宋_GB2312" w:cs="仿宋_GB2312"/>
          <w:color w:val="auto"/>
          <w:sz w:val="32"/>
          <w:szCs w:val="32"/>
        </w:rPr>
        <w:t>给予帮扶；</w:t>
      </w:r>
    </w:p>
    <w:p w14:paraId="2AB2A1E3">
      <w:pPr>
        <w:pStyle w:val="6"/>
        <w:keepNext w:val="0"/>
        <w:keepLines w:val="0"/>
        <w:pageBreakBefore w:val="0"/>
        <w:widowControl/>
        <w:suppressLineNumbers w:val="0"/>
        <w:kinsoku/>
        <w:wordWrap/>
        <w:overflowPunct/>
        <w:topLinePunct w:val="0"/>
        <w:autoSpaceDE/>
        <w:autoSpaceDN/>
        <w:bidi w:val="0"/>
        <w:adjustRightInd/>
        <w:snapToGrid/>
        <w:spacing w:line="560" w:lineRule="exact"/>
        <w:ind w:left="0" w:firstLine="64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四）中小学校、幼儿园内及其场所出入口中心点可行距离50米范围以内主动退出和因自然灾害等不可抗力因素无法在原址继续开展经营活动的零售点，申请在原区域单元继续经营的按本规定第十一条对应类区间距要求的</w:t>
      </w:r>
      <w:r>
        <w:rPr>
          <w:rFonts w:hint="eastAsia" w:ascii="Times New Roman" w:hAnsi="Times New Roman" w:eastAsia="仿宋_GB2312" w:cs="仿宋_GB2312"/>
          <w:color w:val="auto"/>
          <w:sz w:val="32"/>
          <w:szCs w:val="32"/>
          <w:lang w:val="en-US" w:eastAsia="zh-CN"/>
        </w:rPr>
        <w:t>5</w:t>
      </w:r>
      <w:r>
        <w:rPr>
          <w:rFonts w:hint="eastAsia" w:ascii="Times New Roman" w:hAnsi="Times New Roman" w:eastAsia="仿宋_GB2312" w:cs="仿宋_GB2312"/>
          <w:color w:val="auto"/>
          <w:sz w:val="32"/>
          <w:szCs w:val="32"/>
          <w:lang w:eastAsia="zh-CN"/>
        </w:rPr>
        <w:t>0%</w:t>
      </w:r>
      <w:r>
        <w:rPr>
          <w:rFonts w:hint="eastAsia" w:ascii="Times New Roman" w:hAnsi="Times New Roman" w:eastAsia="仿宋_GB2312" w:cs="仿宋_GB2312"/>
          <w:color w:val="auto"/>
          <w:sz w:val="32"/>
          <w:szCs w:val="32"/>
        </w:rPr>
        <w:t>给予帮扶。</w:t>
      </w:r>
    </w:p>
    <w:p w14:paraId="5D9093A9">
      <w:pPr>
        <w:pStyle w:val="6"/>
        <w:keepNext w:val="0"/>
        <w:keepLines w:val="0"/>
        <w:pageBreakBefore w:val="0"/>
        <w:widowControl/>
        <w:suppressLineNumbers w:val="0"/>
        <w:kinsoku/>
        <w:wordWrap/>
        <w:overflowPunct/>
        <w:topLinePunct w:val="0"/>
        <w:autoSpaceDE/>
        <w:autoSpaceDN/>
        <w:bidi w:val="0"/>
        <w:adjustRightInd/>
        <w:snapToGrid/>
        <w:spacing w:line="560" w:lineRule="exact"/>
        <w:ind w:left="0" w:firstLine="64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第十三条</w:t>
      </w:r>
      <w:r>
        <w:rPr>
          <w:rFonts w:hint="eastAsia" w:ascii="Times New Roman" w:hAnsi="Times New Roman" w:eastAsia="仿宋_GB2312" w:cs="仿宋_GB2312"/>
          <w:color w:val="auto"/>
          <w:sz w:val="32"/>
          <w:szCs w:val="32"/>
          <w:lang w:val="en-US" w:eastAsia="zh-CN"/>
        </w:rPr>
        <w:t xml:space="preserve"> </w:t>
      </w:r>
      <w:r>
        <w:rPr>
          <w:rFonts w:hint="eastAsia" w:ascii="Times New Roman" w:hAnsi="Times New Roman" w:eastAsia="仿宋_GB2312" w:cs="仿宋_GB2312"/>
          <w:color w:val="auto"/>
          <w:sz w:val="32"/>
          <w:szCs w:val="32"/>
        </w:rPr>
        <w:t>以下情形不受区域单元零售点规划数量限制：</w:t>
      </w:r>
    </w:p>
    <w:p w14:paraId="223B8F9A">
      <w:pPr>
        <w:pStyle w:val="6"/>
        <w:keepNext w:val="0"/>
        <w:keepLines w:val="0"/>
        <w:pageBreakBefore w:val="0"/>
        <w:widowControl/>
        <w:suppressLineNumbers w:val="0"/>
        <w:kinsoku/>
        <w:wordWrap/>
        <w:overflowPunct/>
        <w:topLinePunct w:val="0"/>
        <w:autoSpaceDE/>
        <w:autoSpaceDN/>
        <w:bidi w:val="0"/>
        <w:adjustRightInd/>
        <w:snapToGrid/>
        <w:spacing w:line="560" w:lineRule="exact"/>
        <w:ind w:left="0" w:firstLine="64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（一）在城区营业面积</w:t>
      </w:r>
      <w:r>
        <w:rPr>
          <w:rFonts w:hint="eastAsia" w:ascii="Times New Roman" w:hAnsi="Times New Roman" w:eastAsia="仿宋_GB2312" w:cs="仿宋_GB2312"/>
          <w:color w:val="auto"/>
          <w:sz w:val="32"/>
          <w:szCs w:val="32"/>
          <w:lang w:val="en-US" w:eastAsia="zh-CN"/>
        </w:rPr>
        <w:t>1500</w:t>
      </w:r>
      <w:r>
        <w:rPr>
          <w:rFonts w:hint="eastAsia" w:ascii="Times New Roman" w:hAnsi="Times New Roman" w:eastAsia="仿宋_GB2312" w:cs="仿宋_GB2312"/>
          <w:color w:val="auto"/>
          <w:sz w:val="32"/>
          <w:szCs w:val="32"/>
        </w:rPr>
        <w:t>平方米以上或在其他区域营业面积</w:t>
      </w:r>
      <w:r>
        <w:rPr>
          <w:rFonts w:hint="eastAsia" w:ascii="Times New Roman" w:hAnsi="Times New Roman" w:eastAsia="仿宋_GB2312" w:cs="仿宋_GB2312"/>
          <w:color w:val="auto"/>
          <w:sz w:val="32"/>
          <w:szCs w:val="32"/>
          <w:lang w:val="en-US" w:eastAsia="zh-CN"/>
        </w:rPr>
        <w:t>750</w:t>
      </w:r>
      <w:r>
        <w:rPr>
          <w:rFonts w:hint="eastAsia" w:ascii="Times New Roman" w:hAnsi="Times New Roman" w:eastAsia="仿宋_GB2312" w:cs="仿宋_GB2312"/>
          <w:color w:val="auto"/>
          <w:sz w:val="32"/>
          <w:szCs w:val="32"/>
        </w:rPr>
        <w:t>平方米以上的超市；</w:t>
      </w:r>
    </w:p>
    <w:p w14:paraId="242867F8">
      <w:pPr>
        <w:pStyle w:val="6"/>
        <w:keepNext w:val="0"/>
        <w:keepLines w:val="0"/>
        <w:pageBreakBefore w:val="0"/>
        <w:widowControl/>
        <w:suppressLineNumbers w:val="0"/>
        <w:kinsoku/>
        <w:wordWrap/>
        <w:overflowPunct/>
        <w:topLinePunct w:val="0"/>
        <w:autoSpaceDE/>
        <w:autoSpaceDN/>
        <w:bidi w:val="0"/>
        <w:adjustRightInd/>
        <w:snapToGrid/>
        <w:spacing w:line="560" w:lineRule="exact"/>
        <w:ind w:left="0" w:firstLine="64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（二）营业面积在</w:t>
      </w:r>
      <w:r>
        <w:rPr>
          <w:rFonts w:hint="eastAsia" w:ascii="Times New Roman" w:hAnsi="Times New Roman" w:eastAsia="仿宋_GB2312" w:cs="仿宋_GB2312"/>
          <w:color w:val="auto"/>
          <w:sz w:val="32"/>
          <w:szCs w:val="32"/>
          <w:lang w:val="en-US" w:eastAsia="zh-CN"/>
        </w:rPr>
        <w:t>2000</w:t>
      </w:r>
      <w:r>
        <w:rPr>
          <w:rFonts w:hint="eastAsia" w:ascii="Times New Roman" w:hAnsi="Times New Roman" w:eastAsia="仿宋_GB2312" w:cs="仿宋_GB2312"/>
          <w:color w:val="auto"/>
          <w:sz w:val="32"/>
          <w:szCs w:val="32"/>
        </w:rPr>
        <w:t>平方米以上的大型酒店、宾馆、KTV、酒店式公寓、旅社、度假村（不含户外场所）等经营场所；</w:t>
      </w:r>
    </w:p>
    <w:p w14:paraId="155182DE">
      <w:pPr>
        <w:pStyle w:val="6"/>
        <w:keepNext w:val="0"/>
        <w:keepLines w:val="0"/>
        <w:pageBreakBefore w:val="0"/>
        <w:widowControl/>
        <w:suppressLineNumbers w:val="0"/>
        <w:kinsoku/>
        <w:wordWrap/>
        <w:overflowPunct/>
        <w:topLinePunct w:val="0"/>
        <w:autoSpaceDE/>
        <w:autoSpaceDN/>
        <w:bidi w:val="0"/>
        <w:adjustRightInd/>
        <w:snapToGrid/>
        <w:spacing w:line="560" w:lineRule="exact"/>
        <w:ind w:left="0" w:firstLine="640"/>
        <w:jc w:val="both"/>
        <w:textAlignment w:val="auto"/>
        <w:rPr>
          <w:rFonts w:hint="eastAsia" w:ascii="Times New Roman" w:hAnsi="Times New Roman" w:eastAsia="仿宋_GB2312" w:cs="仿宋_GB2312"/>
          <w:color w:val="auto"/>
          <w:sz w:val="32"/>
          <w:szCs w:val="32"/>
          <w:shd w:val="clear" w:color="auto" w:fill="auto"/>
        </w:rPr>
      </w:pPr>
      <w:r>
        <w:rPr>
          <w:rFonts w:hint="eastAsia" w:ascii="Times New Roman" w:hAnsi="Times New Roman" w:eastAsia="仿宋_GB2312" w:cs="仿宋_GB2312"/>
          <w:color w:val="auto"/>
          <w:sz w:val="32"/>
          <w:szCs w:val="32"/>
          <w:shd w:val="clear" w:color="auto" w:fill="auto"/>
        </w:rPr>
        <w:t>（三）持证人为自然人，自然人死亡或丧失民事行为能力</w:t>
      </w:r>
      <w:r>
        <w:rPr>
          <w:rFonts w:hint="eastAsia" w:ascii="Times New Roman" w:hAnsi="Times New Roman" w:eastAsia="仿宋_GB2312" w:cs="仿宋_GB2312"/>
          <w:color w:val="auto"/>
          <w:sz w:val="32"/>
          <w:szCs w:val="32"/>
          <w:shd w:val="clear" w:color="auto" w:fill="auto"/>
          <w:lang w:eastAsia="zh-CN"/>
        </w:rPr>
        <w:t>的</w:t>
      </w:r>
      <w:r>
        <w:rPr>
          <w:rFonts w:hint="eastAsia" w:ascii="Times New Roman" w:hAnsi="Times New Roman" w:eastAsia="仿宋_GB2312" w:cs="仿宋_GB2312"/>
          <w:color w:val="auto"/>
          <w:sz w:val="32"/>
          <w:szCs w:val="32"/>
          <w:shd w:val="clear" w:color="auto" w:fill="auto"/>
        </w:rPr>
        <w:t>，自持证人死亡之日或丧失民事行为能力之日起</w:t>
      </w:r>
      <w:r>
        <w:rPr>
          <w:rFonts w:hint="eastAsia" w:ascii="Times New Roman" w:hAnsi="Times New Roman" w:eastAsia="仿宋_GB2312" w:cs="仿宋_GB2312"/>
          <w:color w:val="auto"/>
          <w:sz w:val="32"/>
          <w:szCs w:val="32"/>
          <w:shd w:val="clear" w:color="auto" w:fill="auto"/>
          <w:lang w:val="en-US" w:eastAsia="zh-CN"/>
        </w:rPr>
        <w:t>3</w:t>
      </w:r>
      <w:r>
        <w:rPr>
          <w:rFonts w:hint="eastAsia" w:ascii="Times New Roman" w:hAnsi="Times New Roman" w:eastAsia="仿宋_GB2312" w:cs="仿宋_GB2312"/>
          <w:color w:val="auto"/>
          <w:sz w:val="32"/>
          <w:szCs w:val="32"/>
          <w:shd w:val="clear" w:color="auto" w:fill="auto"/>
        </w:rPr>
        <w:t>个月内，持证人</w:t>
      </w:r>
      <w:r>
        <w:rPr>
          <w:rFonts w:hint="eastAsia" w:ascii="Times New Roman" w:hAnsi="Times New Roman" w:eastAsia="仿宋_GB2312" w:cs="仿宋_GB2312"/>
          <w:color w:val="auto"/>
          <w:sz w:val="32"/>
          <w:szCs w:val="32"/>
          <w:shd w:val="clear" w:color="auto" w:fill="auto"/>
          <w:lang w:eastAsia="zh-CN"/>
        </w:rPr>
        <w:t>的</w:t>
      </w:r>
      <w:r>
        <w:rPr>
          <w:rFonts w:hint="eastAsia" w:ascii="Times New Roman" w:hAnsi="Times New Roman" w:eastAsia="仿宋_GB2312" w:cs="仿宋_GB2312"/>
          <w:color w:val="auto"/>
          <w:sz w:val="32"/>
          <w:szCs w:val="32"/>
          <w:shd w:val="clear" w:color="auto" w:fill="auto"/>
        </w:rPr>
        <w:t>配偶、父母、子女申请在原地址原经营范围继续经营的；</w:t>
      </w:r>
    </w:p>
    <w:p w14:paraId="3DDB766C">
      <w:pPr>
        <w:pStyle w:val="6"/>
        <w:keepNext w:val="0"/>
        <w:keepLines w:val="0"/>
        <w:pageBreakBefore w:val="0"/>
        <w:widowControl/>
        <w:suppressLineNumbers w:val="0"/>
        <w:kinsoku/>
        <w:wordWrap/>
        <w:overflowPunct/>
        <w:topLinePunct w:val="0"/>
        <w:autoSpaceDE/>
        <w:autoSpaceDN/>
        <w:bidi w:val="0"/>
        <w:adjustRightInd/>
        <w:snapToGrid/>
        <w:spacing w:line="560" w:lineRule="exact"/>
        <w:ind w:left="0" w:firstLine="640"/>
        <w:jc w:val="both"/>
        <w:textAlignment w:val="auto"/>
        <w:rPr>
          <w:rFonts w:hint="eastAsia" w:ascii="Times New Roman" w:hAnsi="Times New Roman" w:eastAsia="仿宋_GB2312" w:cs="仿宋_GB2312"/>
          <w:color w:val="auto"/>
          <w:sz w:val="32"/>
          <w:szCs w:val="32"/>
          <w:shd w:val="clear" w:color="auto" w:fill="auto"/>
        </w:rPr>
      </w:pPr>
      <w:r>
        <w:rPr>
          <w:rFonts w:hint="eastAsia" w:ascii="Times New Roman" w:hAnsi="Times New Roman" w:eastAsia="仿宋_GB2312" w:cs="仿宋_GB2312"/>
          <w:color w:val="auto"/>
          <w:sz w:val="32"/>
          <w:szCs w:val="32"/>
          <w:shd w:val="clear" w:color="auto" w:fill="auto"/>
        </w:rPr>
        <w:t>（四）中小学校、幼儿园内及其场所出入口中心点可行距离50米范围以内的零售点主动办理歇业，原持证人在歇业后</w:t>
      </w:r>
      <w:r>
        <w:rPr>
          <w:rFonts w:hint="eastAsia" w:ascii="Times New Roman" w:hAnsi="Times New Roman" w:eastAsia="仿宋_GB2312" w:cs="仿宋_GB2312"/>
          <w:color w:val="auto"/>
          <w:sz w:val="32"/>
          <w:szCs w:val="32"/>
          <w:shd w:val="clear" w:color="auto" w:fill="auto"/>
          <w:lang w:val="en-US" w:eastAsia="zh-CN"/>
        </w:rPr>
        <w:t>3</w:t>
      </w:r>
      <w:r>
        <w:rPr>
          <w:rFonts w:hint="eastAsia" w:ascii="Times New Roman" w:hAnsi="Times New Roman" w:eastAsia="仿宋_GB2312" w:cs="仿宋_GB2312"/>
          <w:color w:val="auto"/>
          <w:sz w:val="32"/>
          <w:szCs w:val="32"/>
          <w:shd w:val="clear" w:color="auto" w:fill="auto"/>
        </w:rPr>
        <w:t>个月内申请在原区域单元继续经营的；</w:t>
      </w:r>
    </w:p>
    <w:p w14:paraId="3198C577">
      <w:pPr>
        <w:pStyle w:val="6"/>
        <w:keepNext w:val="0"/>
        <w:keepLines w:val="0"/>
        <w:pageBreakBefore w:val="0"/>
        <w:widowControl/>
        <w:suppressLineNumbers w:val="0"/>
        <w:kinsoku/>
        <w:wordWrap/>
        <w:overflowPunct/>
        <w:topLinePunct w:val="0"/>
        <w:autoSpaceDE/>
        <w:autoSpaceDN/>
        <w:bidi w:val="0"/>
        <w:adjustRightInd/>
        <w:snapToGrid/>
        <w:spacing w:line="560" w:lineRule="exact"/>
        <w:ind w:left="0" w:firstLine="640"/>
        <w:jc w:val="both"/>
        <w:textAlignment w:val="auto"/>
        <w:rPr>
          <w:rFonts w:hint="eastAsia" w:ascii="Times New Roman" w:hAnsi="Times New Roman" w:eastAsia="仿宋_GB2312" w:cs="仿宋_GB2312"/>
          <w:color w:val="auto"/>
          <w:sz w:val="32"/>
          <w:szCs w:val="32"/>
          <w:shd w:val="clear" w:color="auto" w:fill="auto"/>
        </w:rPr>
      </w:pPr>
      <w:r>
        <w:rPr>
          <w:rFonts w:hint="eastAsia" w:ascii="Times New Roman" w:hAnsi="Times New Roman" w:eastAsia="仿宋_GB2312" w:cs="仿宋_GB2312"/>
          <w:color w:val="auto"/>
          <w:sz w:val="32"/>
          <w:szCs w:val="32"/>
          <w:shd w:val="clear" w:color="auto" w:fill="auto"/>
        </w:rPr>
        <w:t>（五）因自然灾害等不可抗力因素无法在原址继续开展经营活动，原持证人在歇业后</w:t>
      </w:r>
      <w:r>
        <w:rPr>
          <w:rFonts w:hint="eastAsia" w:ascii="Times New Roman" w:hAnsi="Times New Roman" w:eastAsia="仿宋_GB2312" w:cs="仿宋_GB2312"/>
          <w:color w:val="auto"/>
          <w:sz w:val="32"/>
          <w:szCs w:val="32"/>
          <w:shd w:val="clear" w:color="auto" w:fill="auto"/>
          <w:lang w:val="en-US" w:eastAsia="zh-CN"/>
        </w:rPr>
        <w:t>3</w:t>
      </w:r>
      <w:r>
        <w:rPr>
          <w:rFonts w:hint="eastAsia" w:ascii="Times New Roman" w:hAnsi="Times New Roman" w:eastAsia="仿宋_GB2312" w:cs="仿宋_GB2312"/>
          <w:color w:val="auto"/>
          <w:sz w:val="32"/>
          <w:szCs w:val="32"/>
          <w:shd w:val="clear" w:color="auto" w:fill="auto"/>
        </w:rPr>
        <w:t>个月内申请在原区域单元继续经营的；</w:t>
      </w:r>
    </w:p>
    <w:p w14:paraId="401F7868">
      <w:pPr>
        <w:pStyle w:val="6"/>
        <w:keepNext w:val="0"/>
        <w:keepLines w:val="0"/>
        <w:pageBreakBefore w:val="0"/>
        <w:widowControl/>
        <w:suppressLineNumbers w:val="0"/>
        <w:kinsoku/>
        <w:wordWrap/>
        <w:overflowPunct/>
        <w:topLinePunct w:val="0"/>
        <w:autoSpaceDE/>
        <w:autoSpaceDN/>
        <w:bidi w:val="0"/>
        <w:adjustRightInd/>
        <w:snapToGrid/>
        <w:spacing w:line="560" w:lineRule="exact"/>
        <w:ind w:left="0" w:firstLine="640"/>
        <w:jc w:val="both"/>
        <w:textAlignment w:val="auto"/>
        <w:rPr>
          <w:rFonts w:hint="eastAsia" w:ascii="Times New Roman" w:hAnsi="Times New Roman" w:eastAsia="仿宋_GB2312" w:cs="仿宋_GB2312"/>
          <w:color w:val="auto"/>
          <w:sz w:val="32"/>
          <w:szCs w:val="32"/>
          <w:shd w:val="clear" w:color="auto" w:fill="auto"/>
        </w:rPr>
      </w:pPr>
      <w:r>
        <w:rPr>
          <w:rFonts w:hint="eastAsia" w:ascii="Times New Roman" w:hAnsi="Times New Roman" w:eastAsia="仿宋_GB2312" w:cs="仿宋_GB2312"/>
          <w:color w:val="auto"/>
          <w:sz w:val="32"/>
          <w:szCs w:val="32"/>
          <w:shd w:val="clear" w:color="auto" w:fill="auto"/>
        </w:rPr>
        <w:t>（六）因经营场所租赁期届满无法续租而办理歇业手续的零</w:t>
      </w:r>
    </w:p>
    <w:p w14:paraId="588F3D4D">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auto"/>
        <w:rPr>
          <w:rFonts w:hint="eastAsia" w:ascii="Times New Roman" w:hAnsi="Times New Roman" w:eastAsia="仿宋_GB2312" w:cs="仿宋_GB2312"/>
          <w:color w:val="auto"/>
          <w:sz w:val="32"/>
          <w:szCs w:val="32"/>
          <w:shd w:val="clear" w:color="auto" w:fill="auto"/>
        </w:rPr>
      </w:pPr>
      <w:r>
        <w:rPr>
          <w:rFonts w:hint="eastAsia" w:ascii="Times New Roman" w:hAnsi="Times New Roman" w:eastAsia="仿宋_GB2312" w:cs="仿宋_GB2312"/>
          <w:color w:val="auto"/>
          <w:spacing w:val="-6"/>
          <w:kern w:val="0"/>
          <w:sz w:val="32"/>
          <w:szCs w:val="32"/>
          <w:shd w:val="clear" w:color="auto" w:fill="auto"/>
          <w:lang w:val="en-US" w:eastAsia="zh-CN" w:bidi="ar"/>
        </w:rPr>
        <w:t>售点，其原持证人在歇业后</w:t>
      </w:r>
      <w:r>
        <w:rPr>
          <w:rFonts w:hint="eastAsia" w:ascii="Times New Roman" w:hAnsi="Times New Roman" w:cs="仿宋_GB2312"/>
          <w:color w:val="auto"/>
          <w:spacing w:val="-6"/>
          <w:kern w:val="0"/>
          <w:sz w:val="32"/>
          <w:szCs w:val="32"/>
          <w:shd w:val="clear" w:color="auto" w:fill="auto"/>
          <w:lang w:val="en-US" w:eastAsia="zh-CN" w:bidi="ar"/>
        </w:rPr>
        <w:t>3</w:t>
      </w:r>
      <w:r>
        <w:rPr>
          <w:rFonts w:hint="eastAsia" w:ascii="Times New Roman" w:hAnsi="Times New Roman" w:eastAsia="仿宋_GB2312" w:cs="仿宋_GB2312"/>
          <w:color w:val="auto"/>
          <w:spacing w:val="-6"/>
          <w:kern w:val="0"/>
          <w:sz w:val="32"/>
          <w:szCs w:val="32"/>
          <w:shd w:val="clear" w:color="auto" w:fill="auto"/>
          <w:lang w:val="en-US" w:eastAsia="zh-CN" w:bidi="ar"/>
        </w:rPr>
        <w:t>个月内申请在原区域单元继续经营</w:t>
      </w:r>
    </w:p>
    <w:p w14:paraId="62688FD9">
      <w:pPr>
        <w:pStyle w:val="6"/>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auto"/>
        <w:rPr>
          <w:rFonts w:hint="eastAsia" w:ascii="Times New Roman" w:hAnsi="Times New Roman" w:eastAsia="仿宋_GB2312" w:cs="仿宋_GB2312"/>
          <w:color w:val="auto"/>
          <w:sz w:val="32"/>
          <w:szCs w:val="32"/>
          <w:shd w:val="clear" w:color="auto" w:fill="auto"/>
        </w:rPr>
      </w:pPr>
      <w:r>
        <w:rPr>
          <w:rFonts w:hint="eastAsia" w:ascii="Times New Roman" w:hAnsi="Times New Roman" w:eastAsia="仿宋_GB2312" w:cs="仿宋_GB2312"/>
          <w:color w:val="auto"/>
          <w:sz w:val="32"/>
          <w:szCs w:val="32"/>
          <w:shd w:val="clear" w:color="auto" w:fill="auto"/>
        </w:rPr>
        <w:t>的；</w:t>
      </w:r>
    </w:p>
    <w:p w14:paraId="742C676C">
      <w:pPr>
        <w:pStyle w:val="6"/>
        <w:keepNext w:val="0"/>
        <w:keepLines w:val="0"/>
        <w:pageBreakBefore w:val="0"/>
        <w:widowControl/>
        <w:suppressLineNumbers w:val="0"/>
        <w:kinsoku/>
        <w:wordWrap/>
        <w:overflowPunct/>
        <w:topLinePunct w:val="0"/>
        <w:autoSpaceDE/>
        <w:autoSpaceDN/>
        <w:bidi w:val="0"/>
        <w:adjustRightInd/>
        <w:snapToGrid/>
        <w:spacing w:line="560" w:lineRule="exact"/>
        <w:ind w:left="0" w:firstLine="64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（七）需从事烟草制品零售业务的动车站、旅游景区、高速公路服务区内设置的旅客服务点或便利店，在发证机关有权自行对经营活动进行监督检查的前提下可设置一个零售点；</w:t>
      </w:r>
    </w:p>
    <w:p w14:paraId="5AE33A2B">
      <w:pPr>
        <w:pStyle w:val="6"/>
        <w:keepNext w:val="0"/>
        <w:keepLines w:val="0"/>
        <w:pageBreakBefore w:val="0"/>
        <w:widowControl/>
        <w:suppressLineNumbers w:val="0"/>
        <w:kinsoku/>
        <w:wordWrap/>
        <w:overflowPunct/>
        <w:topLinePunct w:val="0"/>
        <w:autoSpaceDE/>
        <w:autoSpaceDN/>
        <w:bidi w:val="0"/>
        <w:adjustRightInd/>
        <w:snapToGrid/>
        <w:spacing w:line="560" w:lineRule="exact"/>
        <w:ind w:left="0" w:firstLine="64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（八）烟草行业为规范市场设立的具有标杆引领作用的烟草企业直营终端。</w:t>
      </w:r>
    </w:p>
    <w:p w14:paraId="3E4F57AE">
      <w:pPr>
        <w:pStyle w:val="6"/>
        <w:keepNext w:val="0"/>
        <w:keepLines w:val="0"/>
        <w:pageBreakBefore w:val="0"/>
        <w:widowControl/>
        <w:suppressLineNumbers w:val="0"/>
        <w:kinsoku/>
        <w:wordWrap/>
        <w:overflowPunct/>
        <w:topLinePunct w:val="0"/>
        <w:autoSpaceDE/>
        <w:autoSpaceDN/>
        <w:bidi w:val="0"/>
        <w:adjustRightInd/>
        <w:snapToGrid/>
        <w:spacing w:line="560" w:lineRule="exact"/>
        <w:ind w:left="0" w:firstLine="64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依据本条第（一）、（二）、（三）、（七）、（八）项设置的零售点不受本规定第十一条间距控制要求，其中第（一）、（二）、（七）、（八）项也不作为设置其他零售点间距要求的参照物。</w:t>
      </w:r>
    </w:p>
    <w:p w14:paraId="30CA438E">
      <w:pPr>
        <w:pStyle w:val="6"/>
        <w:keepNext w:val="0"/>
        <w:keepLines w:val="0"/>
        <w:pageBreakBefore w:val="0"/>
        <w:widowControl/>
        <w:suppressLineNumbers w:val="0"/>
        <w:kinsoku/>
        <w:wordWrap/>
        <w:overflowPunct/>
        <w:topLinePunct w:val="0"/>
        <w:autoSpaceDE/>
        <w:autoSpaceDN/>
        <w:bidi w:val="0"/>
        <w:adjustRightInd/>
        <w:snapToGrid/>
        <w:spacing w:line="560" w:lineRule="exact"/>
        <w:ind w:left="0" w:firstLine="64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第十四条</w:t>
      </w:r>
      <w:r>
        <w:rPr>
          <w:rFonts w:hint="eastAsia" w:ascii="Times New Roman" w:hAnsi="Times New Roman" w:eastAsia="仿宋_GB2312" w:cs="仿宋_GB2312"/>
          <w:color w:val="auto"/>
          <w:sz w:val="32"/>
          <w:szCs w:val="32"/>
          <w:lang w:val="en-US" w:eastAsia="zh-CN"/>
        </w:rPr>
        <w:t xml:space="preserve"> </w:t>
      </w:r>
      <w:r>
        <w:rPr>
          <w:rFonts w:hint="eastAsia" w:ascii="Times New Roman" w:hAnsi="Times New Roman" w:eastAsia="仿宋_GB2312" w:cs="仿宋_GB2312"/>
          <w:color w:val="auto"/>
          <w:sz w:val="32"/>
          <w:szCs w:val="32"/>
        </w:rPr>
        <w:t>因道路规划、城市建设等客观原因造成无法在核定经营地址经营，持证人申请变更到原区域单元内其他地址经营的按本规定第十一条对应类区间距要求的</w:t>
      </w:r>
      <w:r>
        <w:rPr>
          <w:rFonts w:hint="eastAsia" w:ascii="Times New Roman" w:hAnsi="Times New Roman" w:eastAsia="仿宋_GB2312" w:cs="仿宋_GB2312"/>
          <w:color w:val="auto"/>
          <w:sz w:val="32"/>
          <w:szCs w:val="32"/>
          <w:highlight w:val="none"/>
          <w:lang w:val="en-US" w:eastAsia="zh-CN"/>
        </w:rPr>
        <w:t>50</w:t>
      </w:r>
      <w:r>
        <w:rPr>
          <w:rFonts w:hint="eastAsia" w:ascii="Times New Roman" w:hAnsi="Times New Roman" w:eastAsia="仿宋_GB2312" w:cs="仿宋_GB2312"/>
          <w:color w:val="auto"/>
          <w:sz w:val="32"/>
          <w:szCs w:val="32"/>
          <w:highlight w:val="none"/>
          <w:lang w:eastAsia="zh-CN"/>
        </w:rPr>
        <w:t>%</w:t>
      </w:r>
      <w:r>
        <w:rPr>
          <w:rFonts w:hint="eastAsia" w:ascii="Times New Roman" w:hAnsi="Times New Roman" w:eastAsia="仿宋_GB2312" w:cs="仿宋_GB2312"/>
          <w:color w:val="auto"/>
          <w:sz w:val="32"/>
          <w:szCs w:val="32"/>
        </w:rPr>
        <w:t>执行。</w:t>
      </w:r>
    </w:p>
    <w:p w14:paraId="3E3890E4">
      <w:pPr>
        <w:pStyle w:val="6"/>
        <w:keepNext w:val="0"/>
        <w:keepLines w:val="0"/>
        <w:pageBreakBefore w:val="0"/>
        <w:widowControl/>
        <w:suppressLineNumbers w:val="0"/>
        <w:kinsoku/>
        <w:wordWrap/>
        <w:overflowPunct/>
        <w:topLinePunct w:val="0"/>
        <w:autoSpaceDE/>
        <w:autoSpaceDN/>
        <w:bidi w:val="0"/>
        <w:adjustRightInd/>
        <w:snapToGrid/>
        <w:spacing w:line="560" w:lineRule="exact"/>
        <w:ind w:left="0" w:firstLine="640"/>
        <w:jc w:val="both"/>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rPr>
        <w:t>第十五条</w:t>
      </w:r>
      <w:r>
        <w:rPr>
          <w:rFonts w:hint="eastAsia" w:ascii="Times New Roman" w:hAnsi="Times New Roman" w:eastAsia="仿宋_GB2312" w:cs="仿宋_GB2312"/>
          <w:color w:val="auto"/>
          <w:sz w:val="32"/>
          <w:szCs w:val="32"/>
          <w:lang w:val="en-US" w:eastAsia="zh-CN"/>
        </w:rPr>
        <w:t xml:space="preserve"> </w:t>
      </w:r>
      <w:r>
        <w:rPr>
          <w:rFonts w:hint="eastAsia" w:ascii="Times New Roman" w:hAnsi="Times New Roman" w:eastAsia="仿宋_GB2312" w:cs="仿宋_GB2312"/>
          <w:color w:val="auto"/>
          <w:sz w:val="32"/>
          <w:szCs w:val="32"/>
        </w:rPr>
        <w:t>经营范围仅为雪茄烟店堂零售的零售点，在漳平市</w:t>
      </w:r>
      <w:r>
        <w:rPr>
          <w:rFonts w:hint="eastAsia" w:ascii="Times New Roman" w:hAnsi="Times New Roman" w:eastAsia="仿宋_GB2312" w:cs="仿宋_GB2312"/>
          <w:color w:val="auto"/>
          <w:sz w:val="32"/>
          <w:szCs w:val="32"/>
          <w:highlight w:val="none"/>
        </w:rPr>
        <w:t>行政区域内仅设置2户</w:t>
      </w:r>
      <w:r>
        <w:rPr>
          <w:rFonts w:hint="eastAsia" w:ascii="Times New Roman" w:hAnsi="Times New Roman" w:eastAsia="仿宋_GB2312" w:cs="仿宋_GB2312"/>
          <w:color w:val="auto"/>
          <w:sz w:val="32"/>
          <w:szCs w:val="32"/>
          <w:highlight w:val="none"/>
          <w:lang w:eastAsia="zh-CN"/>
        </w:rPr>
        <w:t>。当该零售点数量超过</w:t>
      </w:r>
      <w:r>
        <w:rPr>
          <w:rFonts w:hint="eastAsia" w:ascii="Times New Roman" w:hAnsi="Times New Roman" w:eastAsia="仿宋_GB2312" w:cs="仿宋_GB2312"/>
          <w:color w:val="auto"/>
          <w:sz w:val="32"/>
          <w:szCs w:val="32"/>
          <w:highlight w:val="none"/>
          <w:lang w:val="en-US" w:eastAsia="zh-CN"/>
        </w:rPr>
        <w:t>2户时，如需继续</w:t>
      </w:r>
      <w:r>
        <w:rPr>
          <w:rFonts w:hint="eastAsia" w:ascii="Times New Roman" w:hAnsi="Times New Roman" w:eastAsia="仿宋_GB2312" w:cs="仿宋_GB2312"/>
          <w:color w:val="auto"/>
          <w:sz w:val="32"/>
          <w:szCs w:val="32"/>
          <w:highlight w:val="none"/>
          <w:lang w:eastAsia="zh-CN"/>
        </w:rPr>
        <w:t>申办，需要结合市场发展情况和上级对漳平全市总量调控政策进一步调整</w:t>
      </w:r>
      <w:r>
        <w:rPr>
          <w:rFonts w:hint="eastAsia" w:ascii="Times New Roman" w:hAnsi="Times New Roman" w:eastAsia="仿宋_GB2312" w:cs="仿宋_GB2312"/>
          <w:color w:val="auto"/>
          <w:sz w:val="32"/>
          <w:szCs w:val="32"/>
          <w:highlight w:val="none"/>
        </w:rPr>
        <w:t>。</w:t>
      </w:r>
    </w:p>
    <w:p w14:paraId="70E7D333">
      <w:pPr>
        <w:pStyle w:val="6"/>
        <w:keepNext w:val="0"/>
        <w:keepLines w:val="0"/>
        <w:pageBreakBefore w:val="0"/>
        <w:widowControl/>
        <w:suppressLineNumbers w:val="0"/>
        <w:kinsoku/>
        <w:wordWrap/>
        <w:overflowPunct/>
        <w:topLinePunct w:val="0"/>
        <w:autoSpaceDE/>
        <w:autoSpaceDN/>
        <w:bidi w:val="0"/>
        <w:adjustRightInd/>
        <w:snapToGrid/>
        <w:spacing w:line="560" w:lineRule="exact"/>
        <w:ind w:left="0" w:firstLine="64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第十六条</w:t>
      </w:r>
      <w:r>
        <w:rPr>
          <w:rFonts w:hint="eastAsia" w:ascii="Times New Roman" w:hAnsi="Times New Roman" w:eastAsia="仿宋_GB2312" w:cs="仿宋_GB2312"/>
          <w:color w:val="auto"/>
          <w:sz w:val="32"/>
          <w:szCs w:val="32"/>
          <w:lang w:val="en-US" w:eastAsia="zh-CN"/>
        </w:rPr>
        <w:t xml:space="preserve"> </w:t>
      </w:r>
      <w:r>
        <w:rPr>
          <w:rFonts w:hint="eastAsia" w:ascii="Times New Roman" w:hAnsi="Times New Roman" w:eastAsia="仿宋_GB2312" w:cs="仿宋_GB2312"/>
          <w:color w:val="auto"/>
          <w:sz w:val="32"/>
          <w:szCs w:val="32"/>
        </w:rPr>
        <w:t>依据本规定第十五条设置的零售点属于雪茄烟专营店，事先应取得龙岩市烟草公司漳平分公司营销部门的书面推荐和福建省烟草公司龙岩市公司同意设立的审核意见</w:t>
      </w:r>
      <w:r>
        <w:rPr>
          <w:rFonts w:hint="eastAsia" w:ascii="Times New Roman" w:hAnsi="Times New Roman" w:eastAsia="仿宋_GB2312" w:cs="仿宋_GB2312"/>
          <w:color w:val="auto"/>
          <w:sz w:val="32"/>
          <w:szCs w:val="32"/>
          <w:lang w:eastAsia="zh-CN"/>
        </w:rPr>
        <w:t>。其经营业态应是</w:t>
      </w:r>
      <w:r>
        <w:rPr>
          <w:rFonts w:hint="eastAsia" w:ascii="Times New Roman" w:hAnsi="Times New Roman" w:eastAsia="仿宋_GB2312" w:cs="仿宋_GB2312"/>
          <w:color w:val="auto"/>
          <w:sz w:val="32"/>
          <w:szCs w:val="32"/>
          <w:lang w:val="en-US" w:eastAsia="zh-CN"/>
        </w:rPr>
        <w:t>雪茄吧、酒吧、餐吧、会所、茶叶店等新型业态，</w:t>
      </w:r>
      <w:r>
        <w:rPr>
          <w:rFonts w:hint="eastAsia" w:ascii="Times New Roman" w:hAnsi="Times New Roman" w:eastAsia="仿宋_GB2312" w:cs="仿宋_GB2312"/>
          <w:color w:val="auto"/>
          <w:sz w:val="32"/>
          <w:szCs w:val="32"/>
        </w:rPr>
        <w:t>且</w:t>
      </w:r>
      <w:r>
        <w:rPr>
          <w:rFonts w:hint="eastAsia" w:ascii="Times New Roman" w:hAnsi="Times New Roman" w:eastAsia="仿宋_GB2312" w:cs="仿宋_GB2312"/>
          <w:color w:val="auto"/>
          <w:sz w:val="32"/>
          <w:szCs w:val="32"/>
          <w:lang w:eastAsia="zh-CN"/>
        </w:rPr>
        <w:t>经营场所</w:t>
      </w:r>
      <w:r>
        <w:rPr>
          <w:rFonts w:hint="eastAsia" w:ascii="Times New Roman" w:hAnsi="Times New Roman" w:eastAsia="仿宋_GB2312" w:cs="仿宋_GB2312"/>
          <w:color w:val="auto"/>
          <w:sz w:val="32"/>
          <w:szCs w:val="32"/>
        </w:rPr>
        <w:t>经营面积须在</w:t>
      </w:r>
      <w:r>
        <w:rPr>
          <w:rFonts w:hint="eastAsia" w:ascii="Times New Roman" w:hAnsi="Times New Roman" w:eastAsia="仿宋_GB2312" w:cs="仿宋_GB2312"/>
          <w:color w:val="auto"/>
          <w:sz w:val="32"/>
          <w:szCs w:val="32"/>
          <w:lang w:val="en-US" w:eastAsia="zh-CN"/>
        </w:rPr>
        <w:t>50</w:t>
      </w:r>
      <w:r>
        <w:rPr>
          <w:rFonts w:hint="eastAsia" w:ascii="Times New Roman" w:hAnsi="Times New Roman" w:eastAsia="仿宋_GB2312" w:cs="仿宋_GB2312"/>
          <w:color w:val="auto"/>
          <w:sz w:val="32"/>
          <w:szCs w:val="32"/>
        </w:rPr>
        <w:t>平方米以上</w:t>
      </w:r>
      <w:r>
        <w:rPr>
          <w:rFonts w:hint="eastAsia" w:ascii="Times New Roman" w:hAnsi="Times New Roman" w:eastAsia="仿宋_GB2312" w:cs="仿宋_GB2312"/>
          <w:color w:val="auto"/>
          <w:sz w:val="32"/>
          <w:szCs w:val="32"/>
          <w:lang w:eastAsia="zh-CN"/>
        </w:rPr>
        <w:t>，同时应具备雪茄烟陈列展示区域、专业的电子恒温恒湿雪茄柜或具有恒温恒湿设备的雪茄养护房、配备开放式卡座品鉴区域或通风条件良好的独立品鉴包厢等经营性条件</w:t>
      </w:r>
      <w:r>
        <w:rPr>
          <w:rFonts w:hint="eastAsia" w:ascii="Times New Roman" w:hAnsi="Times New Roman" w:eastAsia="仿宋_GB2312" w:cs="仿宋_GB2312"/>
          <w:color w:val="auto"/>
          <w:sz w:val="32"/>
          <w:szCs w:val="32"/>
        </w:rPr>
        <w:t>。</w:t>
      </w:r>
    </w:p>
    <w:p w14:paraId="7BCCDDD4">
      <w:pPr>
        <w:pStyle w:val="6"/>
        <w:keepNext w:val="0"/>
        <w:keepLines w:val="0"/>
        <w:pageBreakBefore w:val="0"/>
        <w:widowControl/>
        <w:suppressLineNumbers w:val="0"/>
        <w:kinsoku/>
        <w:wordWrap/>
        <w:overflowPunct/>
        <w:topLinePunct w:val="0"/>
        <w:autoSpaceDE/>
        <w:autoSpaceDN/>
        <w:bidi w:val="0"/>
        <w:adjustRightInd/>
        <w:snapToGrid/>
        <w:spacing w:line="560" w:lineRule="exact"/>
        <w:ind w:left="0" w:firstLine="64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第十七条</w:t>
      </w:r>
      <w:r>
        <w:rPr>
          <w:rFonts w:hint="eastAsia" w:ascii="Times New Roman" w:hAnsi="Times New Roman" w:eastAsia="仿宋_GB2312" w:cs="仿宋_GB2312"/>
          <w:color w:val="auto"/>
          <w:sz w:val="32"/>
          <w:szCs w:val="32"/>
          <w:lang w:val="en-US" w:eastAsia="zh-CN"/>
        </w:rPr>
        <w:t xml:space="preserve"> </w:t>
      </w:r>
      <w:r>
        <w:rPr>
          <w:rFonts w:hint="eastAsia" w:ascii="Times New Roman" w:hAnsi="Times New Roman" w:eastAsia="仿宋_GB2312" w:cs="仿宋_GB2312"/>
          <w:color w:val="auto"/>
          <w:sz w:val="32"/>
          <w:szCs w:val="32"/>
        </w:rPr>
        <w:t>依据本规定第十五条设置的零售点，不受本规定区域单元规划数量、间距控制要求，也不作为设置其他零售点间距要求的参照物。</w:t>
      </w:r>
    </w:p>
    <w:p w14:paraId="3A62BEE3">
      <w:pPr>
        <w:pStyle w:val="6"/>
        <w:keepNext w:val="0"/>
        <w:keepLines w:val="0"/>
        <w:pageBreakBefore w:val="0"/>
        <w:widowControl/>
        <w:suppressLineNumbers w:val="0"/>
        <w:kinsoku/>
        <w:wordWrap/>
        <w:overflowPunct/>
        <w:topLinePunct w:val="0"/>
        <w:autoSpaceDE/>
        <w:autoSpaceDN/>
        <w:bidi w:val="0"/>
        <w:adjustRightInd/>
        <w:snapToGrid/>
        <w:spacing w:line="560" w:lineRule="exact"/>
        <w:ind w:left="0" w:firstLine="64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第十八条</w:t>
      </w:r>
      <w:r>
        <w:rPr>
          <w:rFonts w:hint="eastAsia" w:ascii="Times New Roman" w:hAnsi="Times New Roman" w:eastAsia="仿宋_GB2312" w:cs="仿宋_GB2312"/>
          <w:color w:val="auto"/>
          <w:sz w:val="32"/>
          <w:szCs w:val="32"/>
          <w:lang w:val="en-US" w:eastAsia="zh-CN"/>
        </w:rPr>
        <w:t xml:space="preserve"> </w:t>
      </w:r>
      <w:r>
        <w:rPr>
          <w:rFonts w:hint="eastAsia" w:ascii="Times New Roman" w:hAnsi="Times New Roman" w:eastAsia="仿宋_GB2312" w:cs="仿宋_GB2312"/>
          <w:color w:val="auto"/>
          <w:sz w:val="32"/>
          <w:szCs w:val="32"/>
        </w:rPr>
        <w:t>不予核发烟草专卖零售许可证或不予许可的情形：</w:t>
      </w:r>
    </w:p>
    <w:p w14:paraId="6A746559">
      <w:pPr>
        <w:pStyle w:val="6"/>
        <w:keepNext w:val="0"/>
        <w:keepLines w:val="0"/>
        <w:pageBreakBefore w:val="0"/>
        <w:widowControl/>
        <w:suppressLineNumbers w:val="0"/>
        <w:kinsoku/>
        <w:wordWrap/>
        <w:overflowPunct/>
        <w:topLinePunct w:val="0"/>
        <w:autoSpaceDE/>
        <w:autoSpaceDN/>
        <w:bidi w:val="0"/>
        <w:adjustRightInd/>
        <w:snapToGrid/>
        <w:spacing w:line="560" w:lineRule="exact"/>
        <w:ind w:left="0" w:firstLine="64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（一）申请人是未成年人；</w:t>
      </w:r>
    </w:p>
    <w:p w14:paraId="10C2F6E5">
      <w:pPr>
        <w:pStyle w:val="6"/>
        <w:keepNext w:val="0"/>
        <w:keepLines w:val="0"/>
        <w:pageBreakBefore w:val="0"/>
        <w:widowControl/>
        <w:suppressLineNumbers w:val="0"/>
        <w:kinsoku/>
        <w:wordWrap/>
        <w:overflowPunct/>
        <w:topLinePunct w:val="0"/>
        <w:autoSpaceDE/>
        <w:autoSpaceDN/>
        <w:bidi w:val="0"/>
        <w:adjustRightInd/>
        <w:snapToGrid/>
        <w:spacing w:line="560" w:lineRule="exact"/>
        <w:ind w:left="0" w:firstLine="64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（二）申请人是无民事行为能力人、限制民事行为能力人；</w:t>
      </w:r>
    </w:p>
    <w:p w14:paraId="633398E6">
      <w:pPr>
        <w:pStyle w:val="6"/>
        <w:keepNext w:val="0"/>
        <w:keepLines w:val="0"/>
        <w:pageBreakBefore w:val="0"/>
        <w:widowControl/>
        <w:suppressLineNumbers w:val="0"/>
        <w:kinsoku/>
        <w:wordWrap/>
        <w:overflowPunct/>
        <w:topLinePunct w:val="0"/>
        <w:autoSpaceDE/>
        <w:autoSpaceDN/>
        <w:bidi w:val="0"/>
        <w:adjustRightInd/>
        <w:snapToGrid/>
        <w:spacing w:line="560" w:lineRule="exact"/>
        <w:ind w:left="0" w:firstLine="64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（三）申请人属于失信被执行人；</w:t>
      </w:r>
    </w:p>
    <w:p w14:paraId="49829439">
      <w:pPr>
        <w:pStyle w:val="6"/>
        <w:keepNext w:val="0"/>
        <w:keepLines w:val="0"/>
        <w:pageBreakBefore w:val="0"/>
        <w:widowControl/>
        <w:suppressLineNumbers w:val="0"/>
        <w:kinsoku/>
        <w:wordWrap/>
        <w:overflowPunct/>
        <w:topLinePunct w:val="0"/>
        <w:autoSpaceDE/>
        <w:autoSpaceDN/>
        <w:bidi w:val="0"/>
        <w:adjustRightInd/>
        <w:snapToGrid/>
        <w:spacing w:line="560" w:lineRule="exact"/>
        <w:ind w:left="0" w:firstLine="640"/>
        <w:jc w:val="both"/>
        <w:textAlignment w:val="auto"/>
        <w:rPr>
          <w:rFonts w:hint="eastAsia" w:ascii="Times New Roman" w:hAnsi="Times New Roman" w:eastAsia="仿宋_GB2312" w:cs="仿宋_GB2312"/>
          <w:color w:val="auto"/>
          <w:sz w:val="32"/>
          <w:szCs w:val="32"/>
          <w:lang w:eastAsia="zh-CN"/>
        </w:rPr>
      </w:pPr>
      <w:r>
        <w:rPr>
          <w:rFonts w:hint="eastAsia" w:ascii="Times New Roman" w:hAnsi="Times New Roman" w:eastAsia="仿宋_GB2312" w:cs="仿宋_GB2312"/>
          <w:color w:val="auto"/>
          <w:sz w:val="32"/>
          <w:szCs w:val="32"/>
        </w:rPr>
        <w:t>（四）</w:t>
      </w:r>
      <w:r>
        <w:rPr>
          <w:rFonts w:hint="eastAsia" w:ascii="Times New Roman" w:hAnsi="Times New Roman" w:eastAsia="仿宋_GB2312" w:cs="仿宋_GB2312"/>
          <w:color w:val="auto"/>
          <w:sz w:val="32"/>
          <w:szCs w:val="32"/>
          <w:lang w:eastAsia="zh-CN"/>
        </w:rPr>
        <w:t>零售点经营场所属于非固定经营场所，或经营场所与住所不相独立；</w:t>
      </w:r>
    </w:p>
    <w:p w14:paraId="0D40A045">
      <w:pPr>
        <w:pStyle w:val="6"/>
        <w:keepNext w:val="0"/>
        <w:keepLines w:val="0"/>
        <w:pageBreakBefore w:val="0"/>
        <w:widowControl/>
        <w:suppressLineNumbers w:val="0"/>
        <w:kinsoku/>
        <w:wordWrap/>
        <w:overflowPunct/>
        <w:topLinePunct w:val="0"/>
        <w:autoSpaceDE/>
        <w:autoSpaceDN/>
        <w:bidi w:val="0"/>
        <w:adjustRightInd/>
        <w:snapToGrid/>
        <w:spacing w:line="560" w:lineRule="exact"/>
        <w:ind w:left="0" w:firstLine="640"/>
        <w:jc w:val="both"/>
        <w:textAlignment w:val="auto"/>
        <w:rPr>
          <w:rFonts w:hint="eastAsia" w:ascii="Times New Roman" w:hAnsi="Times New Roman" w:eastAsia="仿宋_GB2312" w:cs="仿宋_GB2312"/>
          <w:color w:val="auto"/>
          <w:sz w:val="32"/>
          <w:szCs w:val="32"/>
          <w:lang w:eastAsia="zh-CN"/>
        </w:rPr>
      </w:pPr>
      <w:r>
        <w:rPr>
          <w:rFonts w:hint="eastAsia" w:ascii="Times New Roman" w:hAnsi="Times New Roman" w:eastAsia="仿宋_GB2312" w:cs="仿宋_GB2312"/>
          <w:color w:val="auto"/>
          <w:sz w:val="32"/>
          <w:szCs w:val="32"/>
          <w:highlight w:val="none"/>
        </w:rPr>
        <w:t>（</w:t>
      </w:r>
      <w:r>
        <w:rPr>
          <w:rFonts w:hint="eastAsia" w:ascii="Times New Roman" w:hAnsi="Times New Roman" w:eastAsia="仿宋_GB2312" w:cs="仿宋_GB2312"/>
          <w:color w:val="auto"/>
          <w:sz w:val="32"/>
          <w:szCs w:val="32"/>
          <w:highlight w:val="none"/>
          <w:lang w:eastAsia="zh-CN"/>
        </w:rPr>
        <w:t>五</w:t>
      </w:r>
      <w:r>
        <w:rPr>
          <w:rFonts w:hint="eastAsia" w:ascii="Times New Roman" w:hAnsi="Times New Roman" w:eastAsia="仿宋_GB2312" w:cs="仿宋_GB2312"/>
          <w:color w:val="auto"/>
          <w:sz w:val="32"/>
          <w:szCs w:val="32"/>
          <w:highlight w:val="none"/>
        </w:rPr>
        <w:t>）</w:t>
      </w:r>
      <w:r>
        <w:rPr>
          <w:rFonts w:hint="eastAsia" w:ascii="Times New Roman" w:hAnsi="Times New Roman" w:eastAsia="仿宋_GB2312" w:cs="仿宋_GB2312"/>
          <w:color w:val="auto"/>
          <w:sz w:val="32"/>
          <w:szCs w:val="32"/>
          <w:lang w:eastAsia="zh-CN"/>
        </w:rPr>
        <w:t>擅自改变规划用途，将车位（库）、储藏间改变为经营性用房。</w:t>
      </w:r>
    </w:p>
    <w:p w14:paraId="11F3B329">
      <w:pPr>
        <w:pStyle w:val="6"/>
        <w:keepNext w:val="0"/>
        <w:keepLines w:val="0"/>
        <w:pageBreakBefore w:val="0"/>
        <w:widowControl/>
        <w:suppressLineNumbers w:val="0"/>
        <w:kinsoku/>
        <w:wordWrap/>
        <w:overflowPunct/>
        <w:topLinePunct w:val="0"/>
        <w:autoSpaceDE/>
        <w:autoSpaceDN/>
        <w:bidi w:val="0"/>
        <w:adjustRightInd/>
        <w:snapToGrid/>
        <w:spacing w:line="560" w:lineRule="exact"/>
        <w:ind w:left="0" w:firstLine="64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w:t>
      </w:r>
      <w:r>
        <w:rPr>
          <w:rFonts w:hint="eastAsia" w:ascii="Times New Roman" w:hAnsi="Times New Roman" w:eastAsia="仿宋_GB2312" w:cs="仿宋_GB2312"/>
          <w:color w:val="auto"/>
          <w:sz w:val="32"/>
          <w:szCs w:val="32"/>
          <w:lang w:eastAsia="zh-CN"/>
        </w:rPr>
        <w:t>六</w:t>
      </w:r>
      <w:r>
        <w:rPr>
          <w:rFonts w:hint="eastAsia" w:ascii="Times New Roman" w:hAnsi="Times New Roman" w:eastAsia="仿宋_GB2312" w:cs="仿宋_GB2312"/>
          <w:color w:val="auto"/>
          <w:sz w:val="32"/>
          <w:szCs w:val="32"/>
        </w:rPr>
        <w:t>）受区域单元零售点规划数量限制的新办申请，其经营地址所在区域单元内持证零售点数量大于或等于该单元规划数量的；</w:t>
      </w:r>
    </w:p>
    <w:p w14:paraId="21E26853">
      <w:pPr>
        <w:pStyle w:val="6"/>
        <w:keepNext w:val="0"/>
        <w:keepLines w:val="0"/>
        <w:pageBreakBefore w:val="0"/>
        <w:widowControl/>
        <w:suppressLineNumbers w:val="0"/>
        <w:kinsoku/>
        <w:wordWrap/>
        <w:overflowPunct/>
        <w:topLinePunct w:val="0"/>
        <w:autoSpaceDE/>
        <w:autoSpaceDN/>
        <w:bidi w:val="0"/>
        <w:adjustRightInd/>
        <w:snapToGrid/>
        <w:spacing w:line="560" w:lineRule="exact"/>
        <w:ind w:left="0" w:firstLine="64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w:t>
      </w:r>
      <w:r>
        <w:rPr>
          <w:rFonts w:hint="eastAsia" w:ascii="Times New Roman" w:hAnsi="Times New Roman" w:eastAsia="仿宋_GB2312" w:cs="仿宋_GB2312"/>
          <w:color w:val="auto"/>
          <w:sz w:val="32"/>
          <w:szCs w:val="32"/>
          <w:lang w:eastAsia="zh-CN"/>
        </w:rPr>
        <w:t>七</w:t>
      </w:r>
      <w:r>
        <w:rPr>
          <w:rFonts w:hint="eastAsia" w:ascii="Times New Roman" w:hAnsi="Times New Roman" w:eastAsia="仿宋_GB2312" w:cs="仿宋_GB2312"/>
          <w:color w:val="auto"/>
          <w:sz w:val="32"/>
          <w:szCs w:val="32"/>
        </w:rPr>
        <w:t>）中小学校、幼儿园内及其场所出入口中心点可行距离50米范围以内；</w:t>
      </w:r>
    </w:p>
    <w:p w14:paraId="500D48A0">
      <w:pPr>
        <w:pStyle w:val="6"/>
        <w:keepNext w:val="0"/>
        <w:keepLines w:val="0"/>
        <w:pageBreakBefore w:val="0"/>
        <w:widowControl/>
        <w:suppressLineNumbers w:val="0"/>
        <w:kinsoku/>
        <w:wordWrap/>
        <w:overflowPunct/>
        <w:topLinePunct w:val="0"/>
        <w:autoSpaceDE/>
        <w:autoSpaceDN/>
        <w:bidi w:val="0"/>
        <w:adjustRightInd/>
        <w:snapToGrid/>
        <w:spacing w:line="560" w:lineRule="exact"/>
        <w:ind w:left="0" w:firstLine="64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w:t>
      </w:r>
      <w:r>
        <w:rPr>
          <w:rFonts w:hint="eastAsia" w:ascii="Times New Roman" w:hAnsi="Times New Roman" w:eastAsia="仿宋_GB2312" w:cs="仿宋_GB2312"/>
          <w:color w:val="auto"/>
          <w:sz w:val="32"/>
          <w:szCs w:val="32"/>
          <w:lang w:eastAsia="zh-CN"/>
        </w:rPr>
        <w:t>八</w:t>
      </w:r>
      <w:r>
        <w:rPr>
          <w:rFonts w:hint="eastAsia" w:ascii="Times New Roman" w:hAnsi="Times New Roman" w:eastAsia="仿宋_GB2312" w:cs="仿宋_GB2312"/>
          <w:color w:val="auto"/>
          <w:sz w:val="32"/>
          <w:szCs w:val="32"/>
        </w:rPr>
        <w:t>）青少年宫等未成年人集聚场所、公共医疗机构内；</w:t>
      </w:r>
    </w:p>
    <w:p w14:paraId="764D2A98">
      <w:pPr>
        <w:pStyle w:val="6"/>
        <w:keepNext w:val="0"/>
        <w:keepLines w:val="0"/>
        <w:pageBreakBefore w:val="0"/>
        <w:widowControl/>
        <w:suppressLineNumbers w:val="0"/>
        <w:kinsoku/>
        <w:wordWrap/>
        <w:overflowPunct/>
        <w:topLinePunct w:val="0"/>
        <w:autoSpaceDE/>
        <w:autoSpaceDN/>
        <w:bidi w:val="0"/>
        <w:adjustRightInd/>
        <w:snapToGrid/>
        <w:spacing w:line="560" w:lineRule="exact"/>
        <w:ind w:left="0" w:firstLine="64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w:t>
      </w:r>
      <w:r>
        <w:rPr>
          <w:rFonts w:hint="eastAsia" w:ascii="Times New Roman" w:hAnsi="Times New Roman" w:eastAsia="仿宋_GB2312" w:cs="仿宋_GB2312"/>
          <w:color w:val="auto"/>
          <w:sz w:val="32"/>
          <w:szCs w:val="32"/>
          <w:lang w:eastAsia="zh-CN"/>
        </w:rPr>
        <w:t>九</w:t>
      </w:r>
      <w:r>
        <w:rPr>
          <w:rFonts w:hint="eastAsia" w:ascii="Times New Roman" w:hAnsi="Times New Roman" w:eastAsia="仿宋_GB2312" w:cs="仿宋_GB2312"/>
          <w:color w:val="auto"/>
          <w:sz w:val="32"/>
          <w:szCs w:val="32"/>
        </w:rPr>
        <w:t>）基于安全因素不适宜经营卷烟的场所（如经营化工、化肥、农药、油漆、鞭炮、液化气、汽油等有毒有害、易燃易爆物品的商店）；</w:t>
      </w:r>
    </w:p>
    <w:p w14:paraId="76700FB1">
      <w:pPr>
        <w:pStyle w:val="6"/>
        <w:keepNext w:val="0"/>
        <w:keepLines w:val="0"/>
        <w:pageBreakBefore w:val="0"/>
        <w:widowControl/>
        <w:suppressLineNumbers w:val="0"/>
        <w:kinsoku/>
        <w:wordWrap/>
        <w:overflowPunct/>
        <w:topLinePunct w:val="0"/>
        <w:autoSpaceDE/>
        <w:autoSpaceDN/>
        <w:bidi w:val="0"/>
        <w:adjustRightInd/>
        <w:snapToGrid/>
        <w:spacing w:line="560" w:lineRule="exact"/>
        <w:ind w:left="0" w:firstLine="64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十）不符合烟草制品零售点业态分类场所（如五金建材、美容美发、药妆医械、文化体育、书报亭、通信器材、金融证券、仪器仪表、金银珠宝、修理修配、传真打印、洗涤护理、服装制售、劳保用品、中介劳服、寄卖典当、祭祀用品、汽贸、汽车租</w:t>
      </w:r>
    </w:p>
    <w:p w14:paraId="1BD2C21F">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pacing w:val="-6"/>
          <w:kern w:val="0"/>
          <w:sz w:val="32"/>
          <w:szCs w:val="32"/>
          <w:lang w:val="en-US" w:eastAsia="zh-CN" w:bidi="ar"/>
        </w:rPr>
        <w:t>赁、汽车装潢、水产品、面包蛋糕、农具、药品、药店、</w:t>
      </w:r>
      <w:r>
        <w:rPr>
          <w:rFonts w:hint="eastAsia" w:ascii="Times New Roman" w:hAnsi="Times New Roman" w:cs="仿宋_GB2312"/>
          <w:color w:val="auto"/>
          <w:spacing w:val="-6"/>
          <w:kern w:val="0"/>
          <w:sz w:val="32"/>
          <w:szCs w:val="32"/>
          <w:lang w:val="en-US" w:eastAsia="zh-CN" w:bidi="ar"/>
        </w:rPr>
        <w:t>药超、</w:t>
      </w:r>
      <w:r>
        <w:rPr>
          <w:rFonts w:hint="eastAsia" w:ascii="Times New Roman" w:hAnsi="Times New Roman" w:eastAsia="仿宋_GB2312" w:cs="仿宋_GB2312"/>
          <w:color w:val="auto"/>
          <w:spacing w:val="-6"/>
          <w:kern w:val="0"/>
          <w:sz w:val="32"/>
          <w:szCs w:val="32"/>
          <w:lang w:val="en-US" w:eastAsia="zh-CN" w:bidi="ar"/>
        </w:rPr>
        <w:t>手</w:t>
      </w:r>
      <w:r>
        <w:rPr>
          <w:rFonts w:hint="eastAsia" w:ascii="Times New Roman" w:hAnsi="Times New Roman" w:eastAsia="仿宋_GB2312" w:cs="仿宋_GB2312"/>
          <w:color w:val="auto"/>
          <w:sz w:val="32"/>
          <w:szCs w:val="32"/>
        </w:rPr>
        <w:t>机店、彩票店等主营业务专业性较强且与烟草制品零售业务没有直接或间接互补营销关系的经营业态）；</w:t>
      </w:r>
    </w:p>
    <w:p w14:paraId="17E09396">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line="560" w:lineRule="exact"/>
        <w:ind w:firstLine="628" w:firstLineChars="20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（十</w:t>
      </w:r>
      <w:r>
        <w:rPr>
          <w:rFonts w:hint="eastAsia" w:ascii="Times New Roman" w:hAnsi="Times New Roman" w:eastAsia="仿宋_GB2312" w:cs="仿宋_GB2312"/>
          <w:color w:val="auto"/>
          <w:sz w:val="32"/>
          <w:szCs w:val="32"/>
          <w:lang w:eastAsia="zh-CN"/>
        </w:rPr>
        <w:t>一</w:t>
      </w:r>
      <w:r>
        <w:rPr>
          <w:rFonts w:hint="eastAsia" w:ascii="Times New Roman" w:hAnsi="Times New Roman" w:eastAsia="仿宋_GB2312" w:cs="仿宋_GB2312"/>
          <w:color w:val="auto"/>
          <w:sz w:val="32"/>
          <w:szCs w:val="32"/>
        </w:rPr>
        <w:t>）</w:t>
      </w:r>
      <w:r>
        <w:rPr>
          <w:rFonts w:hint="eastAsia" w:ascii="Times New Roman" w:hAnsi="Times New Roman" w:eastAsia="仿宋_GB2312" w:cs="仿宋_GB2312"/>
          <w:color w:val="auto"/>
          <w:sz w:val="32"/>
          <w:szCs w:val="32"/>
          <w:lang w:eastAsia="zh-CN"/>
        </w:rPr>
        <w:t>建筑物地面</w:t>
      </w:r>
      <w:r>
        <w:rPr>
          <w:rFonts w:hint="eastAsia" w:ascii="Times New Roman" w:hAnsi="Times New Roman" w:eastAsia="仿宋_GB2312" w:cs="仿宋_GB2312"/>
          <w:color w:val="auto"/>
          <w:sz w:val="32"/>
          <w:szCs w:val="32"/>
        </w:rPr>
        <w:t>第二层及以上的经营场所（商场、超市、酒店</w:t>
      </w:r>
      <w:r>
        <w:rPr>
          <w:rFonts w:hint="eastAsia" w:ascii="Times New Roman" w:hAnsi="Times New Roman" w:eastAsia="仿宋_GB2312" w:cs="仿宋_GB2312"/>
          <w:color w:val="auto"/>
          <w:sz w:val="32"/>
          <w:szCs w:val="32"/>
          <w:lang w:eastAsia="zh-CN"/>
        </w:rPr>
        <w:t>、</w:t>
      </w:r>
      <w:r>
        <w:rPr>
          <w:rFonts w:hint="eastAsia" w:ascii="Times New Roman" w:hAnsi="Times New Roman" w:eastAsia="仿宋_GB2312" w:cs="仿宋_GB2312"/>
          <w:color w:val="auto"/>
          <w:sz w:val="32"/>
          <w:szCs w:val="32"/>
        </w:rPr>
        <w:t>宾馆、KTV等场所除外）；</w:t>
      </w:r>
    </w:p>
    <w:p w14:paraId="7BC8FB4E">
      <w:pPr>
        <w:pStyle w:val="6"/>
        <w:keepNext w:val="0"/>
        <w:keepLines w:val="0"/>
        <w:pageBreakBefore w:val="0"/>
        <w:widowControl/>
        <w:suppressLineNumbers w:val="0"/>
        <w:kinsoku/>
        <w:wordWrap/>
        <w:overflowPunct/>
        <w:topLinePunct w:val="0"/>
        <w:autoSpaceDE/>
        <w:autoSpaceDN/>
        <w:bidi w:val="0"/>
        <w:adjustRightInd/>
        <w:snapToGrid/>
        <w:spacing w:line="560" w:lineRule="exact"/>
        <w:ind w:left="0" w:firstLine="64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（十</w:t>
      </w:r>
      <w:r>
        <w:rPr>
          <w:rFonts w:hint="eastAsia" w:ascii="Times New Roman" w:hAnsi="Times New Roman" w:eastAsia="仿宋_GB2312" w:cs="仿宋_GB2312"/>
          <w:color w:val="auto"/>
          <w:sz w:val="32"/>
          <w:szCs w:val="32"/>
          <w:lang w:eastAsia="zh-CN"/>
        </w:rPr>
        <w:t>二</w:t>
      </w:r>
      <w:r>
        <w:rPr>
          <w:rFonts w:hint="eastAsia" w:ascii="Times New Roman" w:hAnsi="Times New Roman" w:eastAsia="仿宋_GB2312" w:cs="仿宋_GB2312"/>
          <w:color w:val="auto"/>
          <w:sz w:val="32"/>
          <w:szCs w:val="32"/>
        </w:rPr>
        <w:t>）利用信息网络渠道或变相利用自动售货机（柜）、游戏机、博彩机等以无人售卖方式经营烟草制品的;</w:t>
      </w:r>
    </w:p>
    <w:p w14:paraId="1343E1BD">
      <w:pPr>
        <w:pStyle w:val="6"/>
        <w:keepNext w:val="0"/>
        <w:keepLines w:val="0"/>
        <w:pageBreakBefore w:val="0"/>
        <w:widowControl/>
        <w:suppressLineNumbers w:val="0"/>
        <w:kinsoku/>
        <w:wordWrap/>
        <w:overflowPunct/>
        <w:topLinePunct w:val="0"/>
        <w:autoSpaceDE/>
        <w:autoSpaceDN/>
        <w:bidi w:val="0"/>
        <w:adjustRightInd/>
        <w:snapToGrid/>
        <w:spacing w:line="560" w:lineRule="exact"/>
        <w:ind w:left="0" w:firstLine="64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（十</w:t>
      </w:r>
      <w:r>
        <w:rPr>
          <w:rFonts w:hint="eastAsia" w:ascii="Times New Roman" w:hAnsi="Times New Roman" w:eastAsia="仿宋_GB2312" w:cs="仿宋_GB2312"/>
          <w:color w:val="auto"/>
          <w:sz w:val="32"/>
          <w:szCs w:val="32"/>
          <w:lang w:eastAsia="zh-CN"/>
        </w:rPr>
        <w:t>三</w:t>
      </w:r>
      <w:r>
        <w:rPr>
          <w:rFonts w:hint="eastAsia" w:ascii="Times New Roman" w:hAnsi="Times New Roman" w:eastAsia="仿宋_GB2312" w:cs="仿宋_GB2312"/>
          <w:color w:val="auto"/>
          <w:sz w:val="32"/>
          <w:szCs w:val="32"/>
        </w:rPr>
        <w:t>）现场勘查时，零售点经营场所尚未开展经营活动的；</w:t>
      </w:r>
    </w:p>
    <w:p w14:paraId="6689E0E3">
      <w:pPr>
        <w:pStyle w:val="6"/>
        <w:keepNext w:val="0"/>
        <w:keepLines w:val="0"/>
        <w:pageBreakBefore w:val="0"/>
        <w:widowControl/>
        <w:suppressLineNumbers w:val="0"/>
        <w:kinsoku/>
        <w:wordWrap/>
        <w:overflowPunct/>
        <w:topLinePunct w:val="0"/>
        <w:autoSpaceDE/>
        <w:autoSpaceDN/>
        <w:bidi w:val="0"/>
        <w:adjustRightInd/>
        <w:snapToGrid/>
        <w:spacing w:line="560" w:lineRule="exact"/>
        <w:ind w:left="0" w:firstLine="64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lang w:eastAsia="zh-CN"/>
        </w:rPr>
        <w:t>（十四）法律法规</w:t>
      </w:r>
      <w:r>
        <w:rPr>
          <w:rFonts w:hint="eastAsia" w:ascii="Times New Roman" w:hAnsi="Times New Roman" w:eastAsia="仿宋_GB2312" w:cs="仿宋_GB2312"/>
          <w:color w:val="auto"/>
          <w:sz w:val="32"/>
          <w:szCs w:val="32"/>
        </w:rPr>
        <w:t>、规章规定的不予核发、许可的其他情形。</w:t>
      </w:r>
    </w:p>
    <w:p w14:paraId="18B17097">
      <w:pPr>
        <w:pStyle w:val="6"/>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第三节</w:t>
      </w:r>
      <w:r>
        <w:rPr>
          <w:rFonts w:hint="eastAsia" w:ascii="Times New Roman" w:hAnsi="Times New Roman" w:eastAsia="仿宋_GB2312" w:cs="仿宋_GB2312"/>
          <w:color w:val="auto"/>
          <w:sz w:val="32"/>
          <w:szCs w:val="32"/>
          <w:lang w:val="en-US" w:eastAsia="zh-CN"/>
        </w:rPr>
        <w:t xml:space="preserve"> </w:t>
      </w:r>
      <w:r>
        <w:rPr>
          <w:rFonts w:hint="eastAsia" w:ascii="Times New Roman" w:hAnsi="Times New Roman" w:eastAsia="仿宋_GB2312" w:cs="仿宋_GB2312"/>
          <w:color w:val="auto"/>
          <w:sz w:val="32"/>
          <w:szCs w:val="32"/>
        </w:rPr>
        <w:t>排队轮候机制</w:t>
      </w:r>
    </w:p>
    <w:p w14:paraId="401725D2">
      <w:pPr>
        <w:pStyle w:val="6"/>
        <w:keepNext w:val="0"/>
        <w:keepLines w:val="0"/>
        <w:pageBreakBefore w:val="0"/>
        <w:widowControl/>
        <w:suppressLineNumbers w:val="0"/>
        <w:kinsoku/>
        <w:wordWrap/>
        <w:overflowPunct/>
        <w:topLinePunct w:val="0"/>
        <w:autoSpaceDE/>
        <w:autoSpaceDN/>
        <w:bidi w:val="0"/>
        <w:adjustRightInd/>
        <w:snapToGrid/>
        <w:spacing w:line="560" w:lineRule="exact"/>
        <w:ind w:left="0" w:firstLine="640"/>
        <w:jc w:val="both"/>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rPr>
        <w:t>第十九条</w:t>
      </w:r>
      <w:r>
        <w:rPr>
          <w:rFonts w:hint="eastAsia" w:ascii="Times New Roman" w:hAnsi="Times New Roman" w:eastAsia="仿宋_GB2312" w:cs="仿宋_GB2312"/>
          <w:color w:val="auto"/>
          <w:sz w:val="32"/>
          <w:szCs w:val="32"/>
          <w:lang w:val="en-US" w:eastAsia="zh-CN"/>
        </w:rPr>
        <w:t xml:space="preserve"> </w:t>
      </w:r>
      <w:r>
        <w:rPr>
          <w:rFonts w:hint="eastAsia" w:ascii="Times New Roman" w:hAnsi="Times New Roman" w:eastAsia="仿宋_GB2312" w:cs="仿宋_GB2312"/>
          <w:color w:val="auto"/>
          <w:sz w:val="32"/>
          <w:szCs w:val="32"/>
        </w:rPr>
        <w:t>当区域单元内的零售点数量达到合理布局规划数量上限时，启动排队轮候机制。排队轮候申请人携带本人身份证件及工商营业执照等相关材料，到福建省漳平市烟草专卖局行政审批窗口登记排队。</w:t>
      </w:r>
    </w:p>
    <w:p w14:paraId="3D5E72A0">
      <w:pPr>
        <w:pStyle w:val="6"/>
        <w:keepNext w:val="0"/>
        <w:keepLines w:val="0"/>
        <w:pageBreakBefore w:val="0"/>
        <w:widowControl/>
        <w:suppressLineNumbers w:val="0"/>
        <w:kinsoku/>
        <w:wordWrap/>
        <w:overflowPunct/>
        <w:topLinePunct w:val="0"/>
        <w:autoSpaceDE/>
        <w:autoSpaceDN/>
        <w:bidi w:val="0"/>
        <w:adjustRightInd/>
        <w:snapToGrid/>
        <w:spacing w:line="560" w:lineRule="exact"/>
        <w:ind w:left="0" w:firstLine="64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第二十条</w:t>
      </w:r>
      <w:r>
        <w:rPr>
          <w:rFonts w:hint="eastAsia" w:ascii="Times New Roman" w:hAnsi="Times New Roman" w:eastAsia="仿宋_GB2312" w:cs="仿宋_GB2312"/>
          <w:color w:val="auto"/>
          <w:sz w:val="32"/>
          <w:szCs w:val="32"/>
          <w:lang w:val="en-US" w:eastAsia="zh-CN"/>
        </w:rPr>
        <w:t xml:space="preserve"> </w:t>
      </w:r>
      <w:r>
        <w:rPr>
          <w:rFonts w:hint="eastAsia" w:ascii="Times New Roman" w:hAnsi="Times New Roman" w:eastAsia="仿宋_GB2312" w:cs="仿宋_GB2312"/>
          <w:color w:val="auto"/>
          <w:sz w:val="32"/>
          <w:szCs w:val="32"/>
        </w:rPr>
        <w:t>区域单元实际持证数量低于规划数量时，行政审批窗口按排队轮候顺序通知申请人于3个工作日内前来办理零售点新办申请手续，逾期未办理零售点新办申请手续、主动放弃排队轮候权利或无法按照申请人提供的联系方式联系到申请人的视为放弃申请资格。</w:t>
      </w:r>
    </w:p>
    <w:p w14:paraId="100504D3">
      <w:pPr>
        <w:pStyle w:val="6"/>
        <w:keepNext w:val="0"/>
        <w:keepLines w:val="0"/>
        <w:pageBreakBefore w:val="0"/>
        <w:widowControl/>
        <w:suppressLineNumbers w:val="0"/>
        <w:kinsoku/>
        <w:wordWrap/>
        <w:overflowPunct/>
        <w:topLinePunct w:val="0"/>
        <w:autoSpaceDE/>
        <w:autoSpaceDN/>
        <w:bidi w:val="0"/>
        <w:adjustRightInd/>
        <w:snapToGrid/>
        <w:spacing w:line="560" w:lineRule="exact"/>
        <w:ind w:left="0" w:firstLine="64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同一申请人因同一经营地址重复提出申请的，以首次申请记录为准。轮候排队申请与零售点申请应保持营业执照一致，轮候</w:t>
      </w:r>
    </w:p>
    <w:p w14:paraId="5AE1A7B6">
      <w:pPr>
        <w:pStyle w:val="6"/>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顺序不得转让或调换。</w:t>
      </w:r>
    </w:p>
    <w:p w14:paraId="2ED6EB46">
      <w:pPr>
        <w:pStyle w:val="6"/>
        <w:keepNext w:val="0"/>
        <w:keepLines w:val="0"/>
        <w:pageBreakBefore w:val="0"/>
        <w:widowControl/>
        <w:suppressLineNumbers w:val="0"/>
        <w:kinsoku/>
        <w:wordWrap/>
        <w:overflowPunct/>
        <w:topLinePunct w:val="0"/>
        <w:autoSpaceDE/>
        <w:autoSpaceDN/>
        <w:bidi w:val="0"/>
        <w:adjustRightInd/>
        <w:snapToGrid/>
        <w:spacing w:line="560" w:lineRule="exact"/>
        <w:ind w:left="0" w:firstLine="64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第二十一条</w:t>
      </w:r>
      <w:r>
        <w:rPr>
          <w:rFonts w:hint="eastAsia" w:ascii="Times New Roman" w:hAnsi="Times New Roman" w:eastAsia="仿宋_GB2312" w:cs="仿宋_GB2312"/>
          <w:color w:val="auto"/>
          <w:sz w:val="32"/>
          <w:szCs w:val="32"/>
          <w:lang w:val="en-US" w:eastAsia="zh-CN"/>
        </w:rPr>
        <w:t xml:space="preserve"> </w:t>
      </w:r>
      <w:r>
        <w:rPr>
          <w:rFonts w:hint="eastAsia" w:ascii="Times New Roman" w:hAnsi="Times New Roman" w:eastAsia="仿宋_GB2312" w:cs="仿宋_GB2312"/>
          <w:color w:val="auto"/>
          <w:sz w:val="32"/>
          <w:szCs w:val="32"/>
        </w:rPr>
        <w:t>行政审批窗口应主动及时展示排队轮候顺序及变动情况等信息，方便申请人和利害关系人查询。</w:t>
      </w:r>
    </w:p>
    <w:p w14:paraId="23219B63">
      <w:pPr>
        <w:pStyle w:val="6"/>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第三章 附则</w:t>
      </w:r>
    </w:p>
    <w:p w14:paraId="226322BE">
      <w:pPr>
        <w:pStyle w:val="6"/>
        <w:keepNext w:val="0"/>
        <w:keepLines w:val="0"/>
        <w:pageBreakBefore w:val="0"/>
        <w:widowControl/>
        <w:suppressLineNumbers w:val="0"/>
        <w:kinsoku/>
        <w:wordWrap/>
        <w:overflowPunct/>
        <w:topLinePunct w:val="0"/>
        <w:autoSpaceDE/>
        <w:autoSpaceDN/>
        <w:bidi w:val="0"/>
        <w:adjustRightInd/>
        <w:snapToGrid/>
        <w:spacing w:line="560" w:lineRule="exact"/>
        <w:ind w:left="0" w:firstLine="64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第二十二条</w:t>
      </w:r>
      <w:r>
        <w:rPr>
          <w:rFonts w:hint="eastAsia" w:ascii="Times New Roman" w:hAnsi="Times New Roman" w:eastAsia="仿宋_GB2312" w:cs="仿宋_GB2312"/>
          <w:color w:val="auto"/>
          <w:sz w:val="32"/>
          <w:szCs w:val="32"/>
          <w:lang w:val="en-US" w:eastAsia="zh-CN"/>
        </w:rPr>
        <w:t xml:space="preserve"> </w:t>
      </w:r>
      <w:r>
        <w:rPr>
          <w:rFonts w:hint="eastAsia" w:ascii="Times New Roman" w:hAnsi="Times New Roman" w:eastAsia="仿宋_GB2312" w:cs="仿宋_GB2312"/>
          <w:color w:val="auto"/>
          <w:sz w:val="32"/>
          <w:szCs w:val="32"/>
        </w:rPr>
        <w:t>本规定中涉及相关词语的解释：</w:t>
      </w:r>
    </w:p>
    <w:p w14:paraId="3ACF0E64">
      <w:pPr>
        <w:pStyle w:val="6"/>
        <w:keepNext w:val="0"/>
        <w:keepLines w:val="0"/>
        <w:pageBreakBefore w:val="0"/>
        <w:widowControl/>
        <w:suppressLineNumbers w:val="0"/>
        <w:kinsoku/>
        <w:wordWrap/>
        <w:overflowPunct/>
        <w:topLinePunct w:val="0"/>
        <w:autoSpaceDE/>
        <w:autoSpaceDN/>
        <w:bidi w:val="0"/>
        <w:adjustRightInd/>
        <w:snapToGrid/>
        <w:spacing w:line="560" w:lineRule="exact"/>
        <w:ind w:left="0" w:firstLine="64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一）本规定所称的零售点“间距”认定标准以申请人经营场所的店门(有两个及以上店门的经营场所，取面向主街道的店门中间点与另一零售点店门或学校大门中间点的可行距离。两个零售点之间设绿化带、隔离栏等，视为不可通行；</w:t>
      </w:r>
    </w:p>
    <w:p w14:paraId="3B05CAAA">
      <w:pPr>
        <w:pStyle w:val="6"/>
        <w:keepNext w:val="0"/>
        <w:keepLines w:val="0"/>
        <w:pageBreakBefore w:val="0"/>
        <w:widowControl/>
        <w:suppressLineNumbers w:val="0"/>
        <w:kinsoku/>
        <w:wordWrap/>
        <w:overflowPunct/>
        <w:topLinePunct w:val="0"/>
        <w:autoSpaceDE/>
        <w:autoSpaceDN/>
        <w:bidi w:val="0"/>
        <w:adjustRightInd/>
        <w:snapToGrid/>
        <w:spacing w:line="560" w:lineRule="exact"/>
        <w:ind w:left="0" w:firstLine="64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二）本规定所称的“营业面积”认定标准以房产证或不动产权证登记的房屋建筑面积（不含露天场所、阁楼、挑高层等搭盖的面积）为准；认定标准采用实际测量与房产证登记数据相结合的方式，只要其中一项数据达到认定标准即视为符合；</w:t>
      </w:r>
    </w:p>
    <w:p w14:paraId="67F316E4">
      <w:pPr>
        <w:pStyle w:val="6"/>
        <w:keepNext w:val="0"/>
        <w:keepLines w:val="0"/>
        <w:pageBreakBefore w:val="0"/>
        <w:widowControl/>
        <w:suppressLineNumbers w:val="0"/>
        <w:kinsoku/>
        <w:wordWrap/>
        <w:overflowPunct/>
        <w:topLinePunct w:val="0"/>
        <w:autoSpaceDE/>
        <w:autoSpaceDN/>
        <w:bidi w:val="0"/>
        <w:adjustRightInd/>
        <w:snapToGrid/>
        <w:spacing w:line="560" w:lineRule="exact"/>
        <w:ind w:left="0" w:firstLine="64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三）本规定所称的“固定经营场所”是指非违章建筑、待拆迁建筑、集装箱、易拆除的临时搭建物等及其他占用公共消防通道的经营场所；“与住所不相独立”是指经营场所未自成一体，与卧室、厨房、客厅等生活起居场所相通的场所；</w:t>
      </w:r>
    </w:p>
    <w:p w14:paraId="6BE75081">
      <w:pPr>
        <w:pStyle w:val="6"/>
        <w:keepNext w:val="0"/>
        <w:keepLines w:val="0"/>
        <w:pageBreakBefore w:val="0"/>
        <w:widowControl/>
        <w:suppressLineNumbers w:val="0"/>
        <w:kinsoku/>
        <w:wordWrap/>
        <w:overflowPunct/>
        <w:topLinePunct w:val="0"/>
        <w:autoSpaceDE/>
        <w:autoSpaceDN/>
        <w:bidi w:val="0"/>
        <w:adjustRightInd/>
        <w:snapToGrid/>
        <w:spacing w:line="560" w:lineRule="exact"/>
        <w:ind w:left="0" w:firstLine="64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（四）本规定所称的“幼儿园”认定标准以取得国、民办教育办学许可证的所有在册幼儿园为准；</w:t>
      </w:r>
    </w:p>
    <w:p w14:paraId="32C4F61F">
      <w:pPr>
        <w:pStyle w:val="6"/>
        <w:keepNext w:val="0"/>
        <w:keepLines w:val="0"/>
        <w:pageBreakBefore w:val="0"/>
        <w:widowControl/>
        <w:suppressLineNumbers w:val="0"/>
        <w:kinsoku/>
        <w:wordWrap/>
        <w:overflowPunct/>
        <w:topLinePunct w:val="0"/>
        <w:autoSpaceDE/>
        <w:autoSpaceDN/>
        <w:bidi w:val="0"/>
        <w:adjustRightInd/>
        <w:snapToGrid/>
        <w:spacing w:line="560" w:lineRule="exact"/>
        <w:ind w:left="0" w:firstLine="640"/>
        <w:jc w:val="both"/>
        <w:textAlignment w:val="auto"/>
        <w:rPr>
          <w:rFonts w:hint="eastAsia" w:ascii="Times New Roman" w:hAnsi="Times New Roman" w:eastAsia="仿宋_GB2312" w:cs="仿宋_GB2312"/>
          <w:color w:val="auto"/>
          <w:sz w:val="32"/>
          <w:szCs w:val="32"/>
          <w:lang w:eastAsia="zh-CN"/>
        </w:rPr>
      </w:pPr>
      <w:r>
        <w:rPr>
          <w:rFonts w:hint="eastAsia" w:ascii="Times New Roman" w:hAnsi="Times New Roman" w:eastAsia="仿宋_GB2312" w:cs="仿宋_GB2312"/>
          <w:color w:val="auto"/>
          <w:sz w:val="32"/>
          <w:szCs w:val="32"/>
        </w:rPr>
        <w:t>（五）本规定所称的“</w:t>
      </w:r>
      <w:r>
        <w:rPr>
          <w:rFonts w:hint="eastAsia" w:ascii="Times New Roman" w:hAnsi="Times New Roman" w:eastAsia="仿宋_GB2312" w:cs="仿宋_GB2312"/>
          <w:color w:val="auto"/>
          <w:sz w:val="32"/>
          <w:szCs w:val="32"/>
          <w:lang w:eastAsia="zh-CN"/>
        </w:rPr>
        <w:t>建筑物地面</w:t>
      </w:r>
      <w:r>
        <w:rPr>
          <w:rFonts w:hint="eastAsia" w:ascii="Times New Roman" w:hAnsi="Times New Roman" w:eastAsia="仿宋_GB2312" w:cs="仿宋_GB2312"/>
          <w:color w:val="auto"/>
          <w:sz w:val="32"/>
          <w:szCs w:val="32"/>
        </w:rPr>
        <w:t>”是指</w:t>
      </w:r>
      <w:r>
        <w:rPr>
          <w:rFonts w:hint="eastAsia" w:ascii="Times New Roman" w:hAnsi="Times New Roman" w:eastAsia="仿宋_GB2312" w:cs="仿宋_GB2312"/>
          <w:color w:val="auto"/>
          <w:sz w:val="32"/>
          <w:szCs w:val="32"/>
          <w:lang w:eastAsia="zh-CN"/>
        </w:rPr>
        <w:t>建筑物地面与建筑外公共生活活动区域及道路连接的第一层。</w:t>
      </w:r>
    </w:p>
    <w:p w14:paraId="4A6DA81C">
      <w:pPr>
        <w:pStyle w:val="6"/>
        <w:keepNext w:val="0"/>
        <w:keepLines w:val="0"/>
        <w:pageBreakBefore w:val="0"/>
        <w:widowControl/>
        <w:suppressLineNumbers w:val="0"/>
        <w:kinsoku/>
        <w:wordWrap/>
        <w:overflowPunct/>
        <w:topLinePunct w:val="0"/>
        <w:autoSpaceDE/>
        <w:autoSpaceDN/>
        <w:bidi w:val="0"/>
        <w:adjustRightInd/>
        <w:snapToGrid/>
        <w:spacing w:line="560" w:lineRule="exact"/>
        <w:ind w:left="0" w:firstLine="64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w:t>
      </w:r>
      <w:r>
        <w:rPr>
          <w:rFonts w:hint="eastAsia" w:ascii="Times New Roman" w:hAnsi="Times New Roman" w:eastAsia="仿宋_GB2312" w:cs="仿宋_GB2312"/>
          <w:color w:val="auto"/>
          <w:sz w:val="32"/>
          <w:szCs w:val="32"/>
          <w:lang w:eastAsia="zh-CN"/>
        </w:rPr>
        <w:t>六</w:t>
      </w:r>
      <w:r>
        <w:rPr>
          <w:rFonts w:hint="eastAsia" w:ascii="Times New Roman" w:hAnsi="Times New Roman" w:eastAsia="仿宋_GB2312" w:cs="仿宋_GB2312"/>
          <w:color w:val="auto"/>
          <w:sz w:val="32"/>
          <w:szCs w:val="32"/>
        </w:rPr>
        <w:t>）本规定所称的“以上”包含本数，“以内”、“以下”不包含本数。</w:t>
      </w:r>
    </w:p>
    <w:p w14:paraId="1D812481">
      <w:pPr>
        <w:pStyle w:val="6"/>
        <w:keepNext w:val="0"/>
        <w:keepLines w:val="0"/>
        <w:pageBreakBefore w:val="0"/>
        <w:widowControl/>
        <w:suppressLineNumbers w:val="0"/>
        <w:kinsoku/>
        <w:wordWrap/>
        <w:overflowPunct/>
        <w:topLinePunct w:val="0"/>
        <w:autoSpaceDE/>
        <w:autoSpaceDN/>
        <w:bidi w:val="0"/>
        <w:adjustRightInd/>
        <w:snapToGrid/>
        <w:spacing w:line="560" w:lineRule="exact"/>
        <w:ind w:left="0" w:firstLine="64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第二十三条</w:t>
      </w:r>
      <w:r>
        <w:rPr>
          <w:rFonts w:hint="eastAsia" w:ascii="Times New Roman" w:hAnsi="Times New Roman" w:eastAsia="仿宋_GB2312" w:cs="仿宋_GB2312"/>
          <w:color w:val="auto"/>
          <w:sz w:val="32"/>
          <w:szCs w:val="32"/>
          <w:lang w:val="en-US" w:eastAsia="zh-CN"/>
        </w:rPr>
        <w:t xml:space="preserve"> </w:t>
      </w:r>
      <w:r>
        <w:rPr>
          <w:rFonts w:hint="eastAsia" w:ascii="Times New Roman" w:hAnsi="Times New Roman" w:eastAsia="仿宋_GB2312" w:cs="仿宋_GB2312"/>
          <w:color w:val="auto"/>
          <w:sz w:val="32"/>
          <w:szCs w:val="32"/>
        </w:rPr>
        <w:t>排队轮候具体相关规定详见《漳平市烟草制品零售点申请登记排队轮候规定》。</w:t>
      </w:r>
    </w:p>
    <w:p w14:paraId="16933C13">
      <w:pPr>
        <w:pStyle w:val="6"/>
        <w:keepNext w:val="0"/>
        <w:keepLines w:val="0"/>
        <w:pageBreakBefore w:val="0"/>
        <w:widowControl/>
        <w:suppressLineNumbers w:val="0"/>
        <w:kinsoku/>
        <w:wordWrap/>
        <w:overflowPunct/>
        <w:topLinePunct w:val="0"/>
        <w:autoSpaceDE/>
        <w:autoSpaceDN/>
        <w:bidi w:val="0"/>
        <w:adjustRightInd/>
        <w:snapToGrid/>
        <w:spacing w:line="560" w:lineRule="exact"/>
        <w:ind w:left="0" w:firstLine="64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第二十四条</w:t>
      </w:r>
      <w:r>
        <w:rPr>
          <w:rFonts w:hint="eastAsia" w:ascii="Times New Roman" w:hAnsi="Times New Roman" w:eastAsia="仿宋_GB2312" w:cs="仿宋_GB2312"/>
          <w:color w:val="auto"/>
          <w:sz w:val="32"/>
          <w:szCs w:val="32"/>
          <w:lang w:val="en-US" w:eastAsia="zh-CN"/>
        </w:rPr>
        <w:t xml:space="preserve"> </w:t>
      </w:r>
      <w:r>
        <w:rPr>
          <w:rFonts w:hint="eastAsia" w:ascii="Times New Roman" w:hAnsi="Times New Roman" w:eastAsia="仿宋_GB2312" w:cs="仿宋_GB2312"/>
          <w:color w:val="auto"/>
          <w:sz w:val="32"/>
          <w:szCs w:val="32"/>
        </w:rPr>
        <w:t>本规定由福建省漳平市烟草专卖局负责解释。</w:t>
      </w:r>
    </w:p>
    <w:p w14:paraId="644F403A">
      <w:pPr>
        <w:pStyle w:val="6"/>
        <w:keepNext w:val="0"/>
        <w:keepLines w:val="0"/>
        <w:pageBreakBefore w:val="0"/>
        <w:widowControl/>
        <w:suppressLineNumbers w:val="0"/>
        <w:kinsoku/>
        <w:wordWrap/>
        <w:overflowPunct/>
        <w:topLinePunct w:val="0"/>
        <w:autoSpaceDE/>
        <w:autoSpaceDN/>
        <w:bidi w:val="0"/>
        <w:adjustRightInd/>
        <w:snapToGrid/>
        <w:spacing w:line="560" w:lineRule="exact"/>
        <w:ind w:left="0" w:firstLine="640"/>
        <w:jc w:val="both"/>
        <w:textAlignment w:val="auto"/>
        <w:rPr>
          <w:rFonts w:hint="eastAsia" w:ascii="Times New Roman" w:hAnsi="Times New Roman"/>
          <w:color w:val="auto"/>
        </w:rPr>
      </w:pPr>
      <w:r>
        <w:rPr>
          <w:rFonts w:hint="eastAsia" w:ascii="Times New Roman" w:hAnsi="Times New Roman" w:eastAsia="仿宋_GB2312" w:cs="仿宋_GB2312"/>
          <w:color w:val="auto"/>
          <w:sz w:val="32"/>
          <w:szCs w:val="32"/>
        </w:rPr>
        <w:t>第二十五条</w:t>
      </w:r>
      <w:r>
        <w:rPr>
          <w:rFonts w:hint="eastAsia" w:ascii="Times New Roman" w:hAnsi="Times New Roman" w:eastAsia="仿宋_GB2312" w:cs="仿宋_GB2312"/>
          <w:color w:val="auto"/>
          <w:sz w:val="32"/>
          <w:szCs w:val="32"/>
          <w:lang w:val="en-US" w:eastAsia="zh-CN"/>
        </w:rPr>
        <w:t xml:space="preserve"> </w:t>
      </w:r>
      <w:r>
        <w:rPr>
          <w:rFonts w:hint="eastAsia" w:ascii="Times New Roman" w:hAnsi="Times New Roman" w:eastAsia="仿宋_GB2312" w:cs="仿宋_GB2312"/>
          <w:color w:val="auto"/>
          <w:sz w:val="32"/>
          <w:szCs w:val="32"/>
        </w:rPr>
        <w:t>本规定自202</w:t>
      </w:r>
      <w:r>
        <w:rPr>
          <w:rFonts w:hint="eastAsia" w:ascii="Times New Roman" w:hAnsi="Times New Roman" w:eastAsia="仿宋_GB2312" w:cs="仿宋_GB2312"/>
          <w:color w:val="auto"/>
          <w:sz w:val="32"/>
          <w:szCs w:val="32"/>
          <w:lang w:val="en-US" w:eastAsia="zh-CN"/>
        </w:rPr>
        <w:t>6</w:t>
      </w:r>
      <w:r>
        <w:rPr>
          <w:rFonts w:hint="eastAsia" w:ascii="Times New Roman" w:hAnsi="Times New Roman" w:eastAsia="仿宋_GB2312" w:cs="仿宋_GB2312"/>
          <w:color w:val="auto"/>
          <w:sz w:val="32"/>
          <w:szCs w:val="32"/>
        </w:rPr>
        <w:t>年</w:t>
      </w:r>
      <w:r>
        <w:rPr>
          <w:rFonts w:hint="eastAsia" w:ascii="Times New Roman" w:hAnsi="Times New Roman" w:eastAsia="仿宋_GB2312" w:cs="仿宋_GB2312"/>
          <w:color w:val="auto"/>
          <w:sz w:val="32"/>
          <w:szCs w:val="32"/>
          <w:lang w:val="en-US" w:eastAsia="zh-CN"/>
        </w:rPr>
        <w:t>1</w:t>
      </w:r>
      <w:r>
        <w:rPr>
          <w:rFonts w:hint="eastAsia" w:ascii="Times New Roman" w:hAnsi="Times New Roman" w:eastAsia="仿宋_GB2312" w:cs="仿宋_GB2312"/>
          <w:color w:val="auto"/>
          <w:sz w:val="32"/>
          <w:szCs w:val="32"/>
        </w:rPr>
        <w:t>月</w:t>
      </w:r>
      <w:r>
        <w:rPr>
          <w:rFonts w:hint="eastAsia" w:ascii="Times New Roman" w:hAnsi="Times New Roman" w:eastAsia="仿宋_GB2312" w:cs="仿宋_GB2312"/>
          <w:color w:val="auto"/>
          <w:sz w:val="32"/>
          <w:szCs w:val="32"/>
          <w:lang w:val="en-US" w:eastAsia="zh-CN"/>
        </w:rPr>
        <w:t>31</w:t>
      </w:r>
      <w:r>
        <w:rPr>
          <w:rFonts w:hint="eastAsia" w:ascii="Times New Roman" w:hAnsi="Times New Roman" w:eastAsia="仿宋_GB2312" w:cs="仿宋_GB2312"/>
          <w:color w:val="auto"/>
          <w:sz w:val="32"/>
          <w:szCs w:val="32"/>
        </w:rPr>
        <w:t>日起施行。原《福建省漳平市烟草制品零售点合理布局规定》（漳烟专〔202</w:t>
      </w:r>
      <w:r>
        <w:rPr>
          <w:rFonts w:hint="eastAsia" w:ascii="Times New Roman" w:hAnsi="Times New Roman" w:eastAsia="仿宋_GB2312" w:cs="仿宋_GB2312"/>
          <w:color w:val="auto"/>
          <w:sz w:val="32"/>
          <w:szCs w:val="32"/>
          <w:lang w:val="en-US" w:eastAsia="zh-CN"/>
        </w:rPr>
        <w:t>5</w:t>
      </w:r>
      <w:r>
        <w:rPr>
          <w:rFonts w:hint="eastAsia" w:ascii="Times New Roman" w:hAnsi="Times New Roman" w:eastAsia="仿宋_GB2312" w:cs="仿宋_GB2312"/>
          <w:color w:val="auto"/>
          <w:sz w:val="32"/>
          <w:szCs w:val="32"/>
        </w:rPr>
        <w:t>〕</w:t>
      </w:r>
      <w:r>
        <w:rPr>
          <w:rFonts w:hint="eastAsia" w:ascii="Times New Roman" w:hAnsi="Times New Roman" w:eastAsia="仿宋_GB2312" w:cs="仿宋_GB2312"/>
          <w:color w:val="auto"/>
          <w:sz w:val="32"/>
          <w:szCs w:val="32"/>
          <w:lang w:val="en-US" w:eastAsia="zh-CN"/>
        </w:rPr>
        <w:t>23</w:t>
      </w:r>
      <w:r>
        <w:rPr>
          <w:rFonts w:hint="eastAsia" w:ascii="Times New Roman" w:hAnsi="Times New Roman" w:eastAsia="仿宋_GB2312" w:cs="仿宋_GB2312"/>
          <w:color w:val="auto"/>
          <w:sz w:val="32"/>
          <w:szCs w:val="32"/>
        </w:rPr>
        <w:t>号）同时废止。</w:t>
      </w:r>
    </w:p>
    <w:sectPr>
      <w:headerReference r:id="rId5" w:type="default"/>
      <w:footerReference r:id="rId7" w:type="default"/>
      <w:headerReference r:id="rId6" w:type="even"/>
      <w:footerReference r:id="rId8" w:type="even"/>
      <w:pgSz w:w="11906" w:h="16838"/>
      <w:pgMar w:top="2098" w:right="1474" w:bottom="1984" w:left="1587" w:header="851" w:footer="1049" w:gutter="0"/>
      <w:pgBorders>
        <w:top w:val="none" w:sz="0" w:space="0"/>
        <w:left w:val="none" w:sz="0" w:space="0"/>
        <w:bottom w:val="none" w:sz="0" w:space="0"/>
        <w:right w:val="none" w:sz="0" w:space="0"/>
      </w:pgBorders>
      <w:cols w:space="720" w:num="1"/>
      <w:rtlGutter w:val="0"/>
      <w:docGrid w:type="linesAndChars" w:linePitch="590" w:charSpace="122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仿宋......">
    <w:altName w:val="仿宋"/>
    <w:panose1 w:val="00000000000000000000"/>
    <w:charset w:val="86"/>
    <w:family w:val="roman"/>
    <w:pitch w:val="default"/>
    <w:sig w:usb0="00000000" w:usb1="00000000" w:usb2="00000000" w:usb3="00000000" w:csb0="00040000" w:csb1="00000000"/>
  </w:font>
  <w:font w:name="方正仿宋_GBK">
    <w:altName w:val="微软雅黑"/>
    <w:panose1 w:val="02000000000000000000"/>
    <w:charset w:val="86"/>
    <w:family w:val="auto"/>
    <w:pitch w:val="default"/>
    <w:sig w:usb0="00000000" w:usb1="0000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4327B8">
    <w:pPr>
      <w:pStyle w:val="4"/>
      <w:keepNext w:val="0"/>
      <w:keepLines w:val="0"/>
      <w:pageBreakBefore w:val="0"/>
      <w:widowControl w:val="0"/>
      <w:kinsoku/>
      <w:wordWrap w:val="0"/>
      <w:overflowPunct w:val="0"/>
      <w:topLinePunct w:val="0"/>
      <w:autoSpaceDE w:val="0"/>
      <w:autoSpaceDN w:val="0"/>
      <w:bidi w:val="0"/>
      <w:adjustRightInd w:val="0"/>
      <w:snapToGrid/>
      <w:spacing w:line="471" w:lineRule="auto"/>
      <w:ind w:left="0" w:leftChars="0" w:right="308" w:rightChars="100" w:firstLine="0" w:firstLineChars="0"/>
      <w:jc w:val="right"/>
      <w:textAlignment w:val="baseline"/>
      <w:outlineLvl w:val="9"/>
      <w:rPr>
        <w:rFonts w:hint="eastAsia" w:ascii="楷体_GB2312" w:eastAsia="楷体_GB2312"/>
        <w:sz w:val="28"/>
      </w:rPr>
    </w:pPr>
    <w:r>
      <w:rPr>
        <w:rStyle w:val="10"/>
        <w:rFonts w:hint="eastAsia" w:ascii="宋体" w:hAnsi="宋体" w:eastAsia="宋体"/>
        <w:sz w:val="28"/>
      </w:rPr>
      <w:t xml:space="preserve">— </w:t>
    </w:r>
    <w:r>
      <w:rPr>
        <w:rFonts w:hint="eastAsia" w:ascii="宋体" w:hAnsi="宋体" w:eastAsia="宋体"/>
        <w:sz w:val="28"/>
      </w:rPr>
      <w:fldChar w:fldCharType="begin"/>
    </w:r>
    <w:r>
      <w:rPr>
        <w:rStyle w:val="10"/>
        <w:rFonts w:hint="eastAsia" w:ascii="宋体" w:hAnsi="宋体" w:eastAsia="宋体"/>
        <w:sz w:val="28"/>
      </w:rPr>
      <w:instrText xml:space="preserve"> PAGE </w:instrText>
    </w:r>
    <w:r>
      <w:rPr>
        <w:rFonts w:hint="eastAsia" w:ascii="宋体" w:hAnsi="宋体" w:eastAsia="宋体"/>
        <w:sz w:val="28"/>
      </w:rPr>
      <w:fldChar w:fldCharType="separate"/>
    </w:r>
    <w:r>
      <w:rPr>
        <w:rStyle w:val="10"/>
        <w:rFonts w:ascii="宋体" w:hAnsi="宋体" w:eastAsia="宋体"/>
        <w:sz w:val="28"/>
      </w:rPr>
      <w:t>2</w:t>
    </w:r>
    <w:r>
      <w:rPr>
        <w:rFonts w:hint="eastAsia" w:ascii="宋体" w:hAnsi="宋体" w:eastAsia="宋体"/>
        <w:sz w:val="28"/>
      </w:rPr>
      <w:fldChar w:fldCharType="end"/>
    </w:r>
    <w:r>
      <w:rPr>
        <w:rFonts w:hint="eastAsia" w:ascii="宋体" w:hAnsi="宋体" w:eastAsia="宋体"/>
        <w:sz w:val="28"/>
      </w:rPr>
      <w:t xml:space="preserve"> </w:t>
    </w:r>
    <w:r>
      <w:rPr>
        <w:rStyle w:val="10"/>
        <w:rFonts w:hint="eastAsia" w:ascii="宋体" w:hAnsi="宋体" w:eastAsia="宋体"/>
        <w:sz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7025D1">
    <w:pPr>
      <w:pStyle w:val="4"/>
      <w:spacing w:line="471" w:lineRule="auto"/>
      <w:ind w:left="308" w:leftChars="100"/>
      <w:jc w:val="left"/>
      <w:rPr>
        <w:rStyle w:val="10"/>
        <w:rFonts w:hint="eastAsia" w:ascii="宋体" w:hAnsi="宋体" w:eastAsia="宋体"/>
        <w:sz w:val="28"/>
      </w:rPr>
    </w:pPr>
    <w:r>
      <w:rPr>
        <w:rStyle w:val="10"/>
        <w:rFonts w:hint="eastAsia" w:ascii="宋体" w:hAnsi="宋体" w:eastAsia="宋体"/>
        <w:sz w:val="28"/>
      </w:rPr>
      <w:t xml:space="preserve">— </w:t>
    </w:r>
    <w:r>
      <w:rPr>
        <w:rFonts w:hint="eastAsia" w:ascii="宋体" w:hAnsi="宋体" w:eastAsia="宋体"/>
        <w:sz w:val="28"/>
      </w:rPr>
      <w:fldChar w:fldCharType="begin"/>
    </w:r>
    <w:r>
      <w:rPr>
        <w:rStyle w:val="10"/>
        <w:rFonts w:hint="eastAsia" w:ascii="宋体" w:hAnsi="宋体" w:eastAsia="宋体"/>
        <w:sz w:val="28"/>
      </w:rPr>
      <w:instrText xml:space="preserve"> PAGE </w:instrText>
    </w:r>
    <w:r>
      <w:rPr>
        <w:rFonts w:hint="eastAsia" w:ascii="宋体" w:hAnsi="宋体" w:eastAsia="宋体"/>
        <w:sz w:val="28"/>
      </w:rPr>
      <w:fldChar w:fldCharType="separate"/>
    </w:r>
    <w:r>
      <w:rPr>
        <w:rStyle w:val="10"/>
        <w:rFonts w:ascii="宋体" w:hAnsi="宋体" w:eastAsia="宋体"/>
        <w:sz w:val="28"/>
      </w:rPr>
      <w:t>2</w:t>
    </w:r>
    <w:r>
      <w:rPr>
        <w:rFonts w:hint="eastAsia" w:ascii="宋体" w:hAnsi="宋体" w:eastAsia="宋体"/>
        <w:sz w:val="28"/>
      </w:rPr>
      <w:fldChar w:fldCharType="end"/>
    </w:r>
    <w:r>
      <w:rPr>
        <w:rFonts w:hint="eastAsia" w:ascii="宋体" w:hAnsi="宋体" w:eastAsia="宋体"/>
        <w:sz w:val="28"/>
      </w:rPr>
      <w:t xml:space="preserve"> </w:t>
    </w:r>
    <w:r>
      <w:rPr>
        <w:rStyle w:val="10"/>
        <w:rFonts w:hint="eastAsia" w:ascii="宋体" w:hAnsi="宋体" w:eastAsia="宋体"/>
        <w:sz w:val="28"/>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065EAC">
    <w:pPr>
      <w:pStyle w:val="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1D9064">
    <w:pPr>
      <w:pStyle w:val="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6412F4"/>
    <w:rsid w:val="00723BC9"/>
    <w:rsid w:val="00A805D8"/>
    <w:rsid w:val="00DC57F7"/>
    <w:rsid w:val="013171D3"/>
    <w:rsid w:val="01361389"/>
    <w:rsid w:val="0153673B"/>
    <w:rsid w:val="015E1342"/>
    <w:rsid w:val="01AA5217"/>
    <w:rsid w:val="020277D8"/>
    <w:rsid w:val="02C34EEE"/>
    <w:rsid w:val="02D06F2C"/>
    <w:rsid w:val="02D20818"/>
    <w:rsid w:val="031A60A6"/>
    <w:rsid w:val="03220503"/>
    <w:rsid w:val="036761A6"/>
    <w:rsid w:val="037441B6"/>
    <w:rsid w:val="038369CF"/>
    <w:rsid w:val="03851B0E"/>
    <w:rsid w:val="03903AE7"/>
    <w:rsid w:val="03A76077"/>
    <w:rsid w:val="03A92091"/>
    <w:rsid w:val="03BA01AE"/>
    <w:rsid w:val="040027A6"/>
    <w:rsid w:val="040845C6"/>
    <w:rsid w:val="043278DD"/>
    <w:rsid w:val="04903542"/>
    <w:rsid w:val="04AA4233"/>
    <w:rsid w:val="04E3586E"/>
    <w:rsid w:val="04E81B1A"/>
    <w:rsid w:val="0512295E"/>
    <w:rsid w:val="051D4572"/>
    <w:rsid w:val="051F7BDF"/>
    <w:rsid w:val="05967957"/>
    <w:rsid w:val="0599193D"/>
    <w:rsid w:val="05C36005"/>
    <w:rsid w:val="05D0030C"/>
    <w:rsid w:val="05EE64A2"/>
    <w:rsid w:val="05FB7B8F"/>
    <w:rsid w:val="063400E4"/>
    <w:rsid w:val="064C5BC6"/>
    <w:rsid w:val="0673692E"/>
    <w:rsid w:val="06916819"/>
    <w:rsid w:val="074F100F"/>
    <w:rsid w:val="07737DE8"/>
    <w:rsid w:val="078636E7"/>
    <w:rsid w:val="07981AEB"/>
    <w:rsid w:val="086D0371"/>
    <w:rsid w:val="08770A71"/>
    <w:rsid w:val="08882010"/>
    <w:rsid w:val="08B872DC"/>
    <w:rsid w:val="08F47C51"/>
    <w:rsid w:val="08FF2615"/>
    <w:rsid w:val="09172B79"/>
    <w:rsid w:val="09230B8A"/>
    <w:rsid w:val="09557421"/>
    <w:rsid w:val="095720E7"/>
    <w:rsid w:val="09C1299A"/>
    <w:rsid w:val="09C23012"/>
    <w:rsid w:val="09F537CA"/>
    <w:rsid w:val="0A1F0894"/>
    <w:rsid w:val="0A8053C6"/>
    <w:rsid w:val="0A814349"/>
    <w:rsid w:val="0ACF355F"/>
    <w:rsid w:val="0AF17E80"/>
    <w:rsid w:val="0AF8308E"/>
    <w:rsid w:val="0B1B5ECC"/>
    <w:rsid w:val="0B5965AB"/>
    <w:rsid w:val="0B621946"/>
    <w:rsid w:val="0B646ACD"/>
    <w:rsid w:val="0BD95198"/>
    <w:rsid w:val="0C0B6463"/>
    <w:rsid w:val="0C59614E"/>
    <w:rsid w:val="0D4A25DE"/>
    <w:rsid w:val="0DA675E9"/>
    <w:rsid w:val="0DBF846F"/>
    <w:rsid w:val="0DDC1B4D"/>
    <w:rsid w:val="0E123083"/>
    <w:rsid w:val="0E403DF0"/>
    <w:rsid w:val="0E5057A5"/>
    <w:rsid w:val="0E864564"/>
    <w:rsid w:val="0F787C0A"/>
    <w:rsid w:val="0F7B24F3"/>
    <w:rsid w:val="0FEB602A"/>
    <w:rsid w:val="0FF0438C"/>
    <w:rsid w:val="101953C4"/>
    <w:rsid w:val="103F1AE1"/>
    <w:rsid w:val="104B2919"/>
    <w:rsid w:val="1071278F"/>
    <w:rsid w:val="10A357D8"/>
    <w:rsid w:val="10BA31FF"/>
    <w:rsid w:val="10C87F96"/>
    <w:rsid w:val="10C9732B"/>
    <w:rsid w:val="116A0748"/>
    <w:rsid w:val="11837A7C"/>
    <w:rsid w:val="12384D02"/>
    <w:rsid w:val="123B5286"/>
    <w:rsid w:val="128F1B00"/>
    <w:rsid w:val="12D07081"/>
    <w:rsid w:val="12FF5637"/>
    <w:rsid w:val="131D250C"/>
    <w:rsid w:val="1345196F"/>
    <w:rsid w:val="13474B62"/>
    <w:rsid w:val="13BB7412"/>
    <w:rsid w:val="13CA1BEF"/>
    <w:rsid w:val="13EE74BE"/>
    <w:rsid w:val="140C50F1"/>
    <w:rsid w:val="14200F92"/>
    <w:rsid w:val="145C4FD4"/>
    <w:rsid w:val="14AE78FC"/>
    <w:rsid w:val="14B81E09"/>
    <w:rsid w:val="14FF6402"/>
    <w:rsid w:val="153A2A3D"/>
    <w:rsid w:val="153F13EA"/>
    <w:rsid w:val="155147CA"/>
    <w:rsid w:val="167539E5"/>
    <w:rsid w:val="16802117"/>
    <w:rsid w:val="168309CB"/>
    <w:rsid w:val="16C367C9"/>
    <w:rsid w:val="16CD5BE6"/>
    <w:rsid w:val="16DA6215"/>
    <w:rsid w:val="16E9660E"/>
    <w:rsid w:val="16FE5EC8"/>
    <w:rsid w:val="170C73DC"/>
    <w:rsid w:val="172B03DE"/>
    <w:rsid w:val="17365E81"/>
    <w:rsid w:val="1778450C"/>
    <w:rsid w:val="1779272E"/>
    <w:rsid w:val="177B11D8"/>
    <w:rsid w:val="1812760A"/>
    <w:rsid w:val="187831B6"/>
    <w:rsid w:val="189A735D"/>
    <w:rsid w:val="18A74BFE"/>
    <w:rsid w:val="18C85511"/>
    <w:rsid w:val="194F441F"/>
    <w:rsid w:val="195A1EDE"/>
    <w:rsid w:val="197A603E"/>
    <w:rsid w:val="198048E1"/>
    <w:rsid w:val="19BD354E"/>
    <w:rsid w:val="1A404D20"/>
    <w:rsid w:val="1A907D51"/>
    <w:rsid w:val="1B103D73"/>
    <w:rsid w:val="1B6D1746"/>
    <w:rsid w:val="1BBC27A5"/>
    <w:rsid w:val="1BD85D3B"/>
    <w:rsid w:val="1BDD21C2"/>
    <w:rsid w:val="1C0C002B"/>
    <w:rsid w:val="1C3F5943"/>
    <w:rsid w:val="1C4A27F6"/>
    <w:rsid w:val="1C4B73CF"/>
    <w:rsid w:val="1C4C53B4"/>
    <w:rsid w:val="1C5F4D1A"/>
    <w:rsid w:val="1C854803"/>
    <w:rsid w:val="1CC37203"/>
    <w:rsid w:val="1D0048A3"/>
    <w:rsid w:val="1D3838DC"/>
    <w:rsid w:val="1D433990"/>
    <w:rsid w:val="1D4D49A3"/>
    <w:rsid w:val="1D691539"/>
    <w:rsid w:val="1DC33119"/>
    <w:rsid w:val="1DE968C4"/>
    <w:rsid w:val="1DF71875"/>
    <w:rsid w:val="1E2D4011"/>
    <w:rsid w:val="1E4330A8"/>
    <w:rsid w:val="1E951389"/>
    <w:rsid w:val="1ECC2895"/>
    <w:rsid w:val="1EE324BA"/>
    <w:rsid w:val="1F122D30"/>
    <w:rsid w:val="1F604089"/>
    <w:rsid w:val="1F9F1BB7"/>
    <w:rsid w:val="1FB2188E"/>
    <w:rsid w:val="1FF03D2A"/>
    <w:rsid w:val="202408C8"/>
    <w:rsid w:val="207B12D7"/>
    <w:rsid w:val="209F6013"/>
    <w:rsid w:val="20A17A40"/>
    <w:rsid w:val="20CE09F4"/>
    <w:rsid w:val="216D1B64"/>
    <w:rsid w:val="217B17CC"/>
    <w:rsid w:val="21C30312"/>
    <w:rsid w:val="21EE56B5"/>
    <w:rsid w:val="221C55F6"/>
    <w:rsid w:val="224A05B8"/>
    <w:rsid w:val="22804455"/>
    <w:rsid w:val="22A90270"/>
    <w:rsid w:val="22E307CC"/>
    <w:rsid w:val="22FF4C5A"/>
    <w:rsid w:val="231F52A2"/>
    <w:rsid w:val="23555288"/>
    <w:rsid w:val="23E9602A"/>
    <w:rsid w:val="24194FC5"/>
    <w:rsid w:val="243F0CE7"/>
    <w:rsid w:val="2487585F"/>
    <w:rsid w:val="24884A5F"/>
    <w:rsid w:val="25523D77"/>
    <w:rsid w:val="25725DE7"/>
    <w:rsid w:val="258B35AB"/>
    <w:rsid w:val="25A228CE"/>
    <w:rsid w:val="25CE6C15"/>
    <w:rsid w:val="26017921"/>
    <w:rsid w:val="260955F8"/>
    <w:rsid w:val="263306B3"/>
    <w:rsid w:val="263962C5"/>
    <w:rsid w:val="26490DAB"/>
    <w:rsid w:val="2653066B"/>
    <w:rsid w:val="269B556C"/>
    <w:rsid w:val="26A9214B"/>
    <w:rsid w:val="26E4675D"/>
    <w:rsid w:val="26FE299E"/>
    <w:rsid w:val="27323236"/>
    <w:rsid w:val="273C3E88"/>
    <w:rsid w:val="275807AF"/>
    <w:rsid w:val="27C24AC7"/>
    <w:rsid w:val="28624148"/>
    <w:rsid w:val="286802D1"/>
    <w:rsid w:val="28BF46B0"/>
    <w:rsid w:val="29913B46"/>
    <w:rsid w:val="29A80DCF"/>
    <w:rsid w:val="2A031A1A"/>
    <w:rsid w:val="2A230DAE"/>
    <w:rsid w:val="2A3A4256"/>
    <w:rsid w:val="2A4312E2"/>
    <w:rsid w:val="2A4931EC"/>
    <w:rsid w:val="2A916E63"/>
    <w:rsid w:val="2A9F6179"/>
    <w:rsid w:val="2B653518"/>
    <w:rsid w:val="2BAD08B5"/>
    <w:rsid w:val="2BB76AA0"/>
    <w:rsid w:val="2BBA7671"/>
    <w:rsid w:val="2BC67260"/>
    <w:rsid w:val="2BFF06BF"/>
    <w:rsid w:val="2C55584A"/>
    <w:rsid w:val="2C9F2793"/>
    <w:rsid w:val="2CB66B69"/>
    <w:rsid w:val="2CE7073F"/>
    <w:rsid w:val="2D914E16"/>
    <w:rsid w:val="2E360E33"/>
    <w:rsid w:val="2E6115DE"/>
    <w:rsid w:val="2EDA6E9C"/>
    <w:rsid w:val="2F0D2540"/>
    <w:rsid w:val="2F416BFE"/>
    <w:rsid w:val="2FA6143A"/>
    <w:rsid w:val="2FC367EB"/>
    <w:rsid w:val="2FCC1679"/>
    <w:rsid w:val="2FF95C73"/>
    <w:rsid w:val="302063B0"/>
    <w:rsid w:val="30524074"/>
    <w:rsid w:val="30616EBD"/>
    <w:rsid w:val="30A612CD"/>
    <w:rsid w:val="30A91F61"/>
    <w:rsid w:val="30C57693"/>
    <w:rsid w:val="30FB64E8"/>
    <w:rsid w:val="311956BC"/>
    <w:rsid w:val="314F5F72"/>
    <w:rsid w:val="315E709A"/>
    <w:rsid w:val="31964168"/>
    <w:rsid w:val="31A734BC"/>
    <w:rsid w:val="32B211FA"/>
    <w:rsid w:val="32D67989"/>
    <w:rsid w:val="33097532"/>
    <w:rsid w:val="330C4FCE"/>
    <w:rsid w:val="33B9693F"/>
    <w:rsid w:val="33BFD0D2"/>
    <w:rsid w:val="33E0082A"/>
    <w:rsid w:val="33EF157E"/>
    <w:rsid w:val="345033AD"/>
    <w:rsid w:val="34E37918"/>
    <w:rsid w:val="353A2B45"/>
    <w:rsid w:val="353B0B1D"/>
    <w:rsid w:val="353F1A6B"/>
    <w:rsid w:val="358878E1"/>
    <w:rsid w:val="35AD37D6"/>
    <w:rsid w:val="35BF05E7"/>
    <w:rsid w:val="36260117"/>
    <w:rsid w:val="3640708F"/>
    <w:rsid w:val="3698771E"/>
    <w:rsid w:val="36E47B9D"/>
    <w:rsid w:val="373F6235"/>
    <w:rsid w:val="37974A1A"/>
    <w:rsid w:val="37B876E9"/>
    <w:rsid w:val="37C4140A"/>
    <w:rsid w:val="37D62942"/>
    <w:rsid w:val="37E66B23"/>
    <w:rsid w:val="37EB64A7"/>
    <w:rsid w:val="37FF7019"/>
    <w:rsid w:val="380E2BAE"/>
    <w:rsid w:val="3852678F"/>
    <w:rsid w:val="387602DD"/>
    <w:rsid w:val="38BC19A2"/>
    <w:rsid w:val="38F81807"/>
    <w:rsid w:val="39022116"/>
    <w:rsid w:val="391B13F0"/>
    <w:rsid w:val="39261FCD"/>
    <w:rsid w:val="39A74E22"/>
    <w:rsid w:val="39B53C0B"/>
    <w:rsid w:val="39BD41A7"/>
    <w:rsid w:val="39D777C2"/>
    <w:rsid w:val="39F134B9"/>
    <w:rsid w:val="3A037F58"/>
    <w:rsid w:val="3A055CC4"/>
    <w:rsid w:val="3A063F42"/>
    <w:rsid w:val="3A2B2E7D"/>
    <w:rsid w:val="3A3F68EA"/>
    <w:rsid w:val="3A4849AC"/>
    <w:rsid w:val="3A4F0030"/>
    <w:rsid w:val="3ACA5AF3"/>
    <w:rsid w:val="3AE36DA8"/>
    <w:rsid w:val="3AE55345"/>
    <w:rsid w:val="3B1B48C3"/>
    <w:rsid w:val="3B5F180A"/>
    <w:rsid w:val="3B7A10AA"/>
    <w:rsid w:val="3B7F626C"/>
    <w:rsid w:val="3B992C75"/>
    <w:rsid w:val="3BAE7776"/>
    <w:rsid w:val="3BD244B2"/>
    <w:rsid w:val="3BD7738D"/>
    <w:rsid w:val="3BF52D0E"/>
    <w:rsid w:val="3C01476F"/>
    <w:rsid w:val="3C046AB8"/>
    <w:rsid w:val="3C0D57D9"/>
    <w:rsid w:val="3C146221"/>
    <w:rsid w:val="3C3144CC"/>
    <w:rsid w:val="3C5D5974"/>
    <w:rsid w:val="3C844287"/>
    <w:rsid w:val="3C907D69"/>
    <w:rsid w:val="3CB163D2"/>
    <w:rsid w:val="3CE9745B"/>
    <w:rsid w:val="3D0A7A32"/>
    <w:rsid w:val="3D3B0201"/>
    <w:rsid w:val="3D595233"/>
    <w:rsid w:val="3E0472BD"/>
    <w:rsid w:val="3E4619B8"/>
    <w:rsid w:val="3E574458"/>
    <w:rsid w:val="3E936234"/>
    <w:rsid w:val="3EFA2761"/>
    <w:rsid w:val="3F380047"/>
    <w:rsid w:val="3F41451A"/>
    <w:rsid w:val="3F576BC2"/>
    <w:rsid w:val="3F6B6B97"/>
    <w:rsid w:val="3FBD336E"/>
    <w:rsid w:val="3FC27B53"/>
    <w:rsid w:val="3FEBCD4D"/>
    <w:rsid w:val="40111F29"/>
    <w:rsid w:val="40280130"/>
    <w:rsid w:val="404E1D8E"/>
    <w:rsid w:val="40630C22"/>
    <w:rsid w:val="408A281A"/>
    <w:rsid w:val="40FA4E7B"/>
    <w:rsid w:val="41086E91"/>
    <w:rsid w:val="412414ED"/>
    <w:rsid w:val="414954A9"/>
    <w:rsid w:val="41516138"/>
    <w:rsid w:val="41C73BAC"/>
    <w:rsid w:val="425A0B69"/>
    <w:rsid w:val="434716B1"/>
    <w:rsid w:val="4350392A"/>
    <w:rsid w:val="43706133"/>
    <w:rsid w:val="44027C20"/>
    <w:rsid w:val="441311BF"/>
    <w:rsid w:val="44AC2D8E"/>
    <w:rsid w:val="44C96CDC"/>
    <w:rsid w:val="44DE6309"/>
    <w:rsid w:val="45BE3E8A"/>
    <w:rsid w:val="462C7A1E"/>
    <w:rsid w:val="463A27C1"/>
    <w:rsid w:val="464419BE"/>
    <w:rsid w:val="46623DF6"/>
    <w:rsid w:val="472F16C1"/>
    <w:rsid w:val="475E94E0"/>
    <w:rsid w:val="47876268"/>
    <w:rsid w:val="47CB21D4"/>
    <w:rsid w:val="47DB621F"/>
    <w:rsid w:val="481F1C5E"/>
    <w:rsid w:val="487A17CC"/>
    <w:rsid w:val="48B84BD9"/>
    <w:rsid w:val="48D32A07"/>
    <w:rsid w:val="48E13021"/>
    <w:rsid w:val="491B667E"/>
    <w:rsid w:val="492D715F"/>
    <w:rsid w:val="49375FAE"/>
    <w:rsid w:val="497E6723"/>
    <w:rsid w:val="49AB04EC"/>
    <w:rsid w:val="49C9005F"/>
    <w:rsid w:val="49D36CE4"/>
    <w:rsid w:val="49EA77C9"/>
    <w:rsid w:val="49FB156F"/>
    <w:rsid w:val="4A54710F"/>
    <w:rsid w:val="4A7045EA"/>
    <w:rsid w:val="4A9D28FF"/>
    <w:rsid w:val="4AAC7812"/>
    <w:rsid w:val="4B317C89"/>
    <w:rsid w:val="4B3C128B"/>
    <w:rsid w:val="4B403E05"/>
    <w:rsid w:val="4B50040A"/>
    <w:rsid w:val="4B5C107E"/>
    <w:rsid w:val="4C4321BE"/>
    <w:rsid w:val="4C5479B0"/>
    <w:rsid w:val="4C62195E"/>
    <w:rsid w:val="4CC6266A"/>
    <w:rsid w:val="4D437405"/>
    <w:rsid w:val="4D9F30F3"/>
    <w:rsid w:val="4E25634F"/>
    <w:rsid w:val="4E7B4F3A"/>
    <w:rsid w:val="4EE4617A"/>
    <w:rsid w:val="4F155A4F"/>
    <w:rsid w:val="4F1869D4"/>
    <w:rsid w:val="4F1B22DD"/>
    <w:rsid w:val="4FA54039"/>
    <w:rsid w:val="4FB9443F"/>
    <w:rsid w:val="4FE2609D"/>
    <w:rsid w:val="4FFF344E"/>
    <w:rsid w:val="501522F3"/>
    <w:rsid w:val="50362B19"/>
    <w:rsid w:val="50551558"/>
    <w:rsid w:val="50782EB7"/>
    <w:rsid w:val="509119E9"/>
    <w:rsid w:val="512344AA"/>
    <w:rsid w:val="51256043"/>
    <w:rsid w:val="51944027"/>
    <w:rsid w:val="51EF7344"/>
    <w:rsid w:val="520D4018"/>
    <w:rsid w:val="525503FE"/>
    <w:rsid w:val="525A22CE"/>
    <w:rsid w:val="52B0523E"/>
    <w:rsid w:val="532A033B"/>
    <w:rsid w:val="536C00E9"/>
    <w:rsid w:val="53D8021B"/>
    <w:rsid w:val="53DB4A23"/>
    <w:rsid w:val="540B47A1"/>
    <w:rsid w:val="540C51D3"/>
    <w:rsid w:val="54242899"/>
    <w:rsid w:val="542813F0"/>
    <w:rsid w:val="547E09F5"/>
    <w:rsid w:val="54824E31"/>
    <w:rsid w:val="549A75AA"/>
    <w:rsid w:val="54D33745"/>
    <w:rsid w:val="54E164CF"/>
    <w:rsid w:val="54E66A4D"/>
    <w:rsid w:val="5508148A"/>
    <w:rsid w:val="55136ADE"/>
    <w:rsid w:val="551509A8"/>
    <w:rsid w:val="55797948"/>
    <w:rsid w:val="557B0906"/>
    <w:rsid w:val="558E7279"/>
    <w:rsid w:val="55AD6C44"/>
    <w:rsid w:val="55CF4A91"/>
    <w:rsid w:val="560F58BD"/>
    <w:rsid w:val="56197F4D"/>
    <w:rsid w:val="562431B2"/>
    <w:rsid w:val="562F1E3F"/>
    <w:rsid w:val="56424E12"/>
    <w:rsid w:val="56646DA2"/>
    <w:rsid w:val="56A531C5"/>
    <w:rsid w:val="56D7DA13"/>
    <w:rsid w:val="57051D60"/>
    <w:rsid w:val="571A4A01"/>
    <w:rsid w:val="57A37EC8"/>
    <w:rsid w:val="57E84249"/>
    <w:rsid w:val="580F0E92"/>
    <w:rsid w:val="58242DA9"/>
    <w:rsid w:val="58AB3752"/>
    <w:rsid w:val="5941447A"/>
    <w:rsid w:val="59747253"/>
    <w:rsid w:val="599D2616"/>
    <w:rsid w:val="59A0133F"/>
    <w:rsid w:val="59B447B9"/>
    <w:rsid w:val="59C778E7"/>
    <w:rsid w:val="59D708D6"/>
    <w:rsid w:val="59E81790"/>
    <w:rsid w:val="59EC0167"/>
    <w:rsid w:val="59FF13B5"/>
    <w:rsid w:val="5A5255BC"/>
    <w:rsid w:val="5A8F1A78"/>
    <w:rsid w:val="5A96743F"/>
    <w:rsid w:val="5AB1340E"/>
    <w:rsid w:val="5AB230A3"/>
    <w:rsid w:val="5AD52312"/>
    <w:rsid w:val="5B38725F"/>
    <w:rsid w:val="5B3B918E"/>
    <w:rsid w:val="5B3E3157"/>
    <w:rsid w:val="5BE75664"/>
    <w:rsid w:val="5C805ABA"/>
    <w:rsid w:val="5C8445D7"/>
    <w:rsid w:val="5C8F0D4E"/>
    <w:rsid w:val="5CF53766"/>
    <w:rsid w:val="5D1C04EB"/>
    <w:rsid w:val="5D4A309B"/>
    <w:rsid w:val="5DBD2D9E"/>
    <w:rsid w:val="5DC21AC7"/>
    <w:rsid w:val="5DE004FC"/>
    <w:rsid w:val="5DF55733"/>
    <w:rsid w:val="5DFB3A3C"/>
    <w:rsid w:val="5E0302CC"/>
    <w:rsid w:val="5E0B450A"/>
    <w:rsid w:val="5E28182F"/>
    <w:rsid w:val="5E392465"/>
    <w:rsid w:val="5F2003BF"/>
    <w:rsid w:val="5F271A6B"/>
    <w:rsid w:val="5F277B15"/>
    <w:rsid w:val="5F463DDB"/>
    <w:rsid w:val="5F7217A7"/>
    <w:rsid w:val="5F7A62E9"/>
    <w:rsid w:val="5FEF45F4"/>
    <w:rsid w:val="604F5912"/>
    <w:rsid w:val="60746A4B"/>
    <w:rsid w:val="60A6184F"/>
    <w:rsid w:val="61482832"/>
    <w:rsid w:val="61550D19"/>
    <w:rsid w:val="61A00737"/>
    <w:rsid w:val="61B7412F"/>
    <w:rsid w:val="6229130F"/>
    <w:rsid w:val="624D3D9E"/>
    <w:rsid w:val="625D50F7"/>
    <w:rsid w:val="62A65A66"/>
    <w:rsid w:val="62DF3642"/>
    <w:rsid w:val="62E7A262"/>
    <w:rsid w:val="6309501A"/>
    <w:rsid w:val="63351E60"/>
    <w:rsid w:val="635268F9"/>
    <w:rsid w:val="638B4DDF"/>
    <w:rsid w:val="639F2CC3"/>
    <w:rsid w:val="63B429E0"/>
    <w:rsid w:val="63D61FE2"/>
    <w:rsid w:val="6425175A"/>
    <w:rsid w:val="646F6014"/>
    <w:rsid w:val="647C7106"/>
    <w:rsid w:val="649E5BA1"/>
    <w:rsid w:val="64CC5A3E"/>
    <w:rsid w:val="64D450D8"/>
    <w:rsid w:val="64DB4055"/>
    <w:rsid w:val="64DE0B89"/>
    <w:rsid w:val="65554CF2"/>
    <w:rsid w:val="65D33DA4"/>
    <w:rsid w:val="65FA5E5E"/>
    <w:rsid w:val="66081ABD"/>
    <w:rsid w:val="665B445A"/>
    <w:rsid w:val="66B06886"/>
    <w:rsid w:val="66E52DCA"/>
    <w:rsid w:val="67130B29"/>
    <w:rsid w:val="673553AA"/>
    <w:rsid w:val="675D1C3B"/>
    <w:rsid w:val="67AD6168"/>
    <w:rsid w:val="67DE7902"/>
    <w:rsid w:val="681F29BA"/>
    <w:rsid w:val="683F45B5"/>
    <w:rsid w:val="68465A22"/>
    <w:rsid w:val="684F6332"/>
    <w:rsid w:val="68840010"/>
    <w:rsid w:val="688C31A6"/>
    <w:rsid w:val="68AB6EB0"/>
    <w:rsid w:val="68DF7ED9"/>
    <w:rsid w:val="6923630A"/>
    <w:rsid w:val="6938439A"/>
    <w:rsid w:val="696D3286"/>
    <w:rsid w:val="69745B81"/>
    <w:rsid w:val="698906F6"/>
    <w:rsid w:val="69B62F7E"/>
    <w:rsid w:val="69F7527F"/>
    <w:rsid w:val="6A0C3C10"/>
    <w:rsid w:val="6A961A6F"/>
    <w:rsid w:val="6AD43932"/>
    <w:rsid w:val="6AE01AE3"/>
    <w:rsid w:val="6B1B7606"/>
    <w:rsid w:val="6B2227AA"/>
    <w:rsid w:val="6B364C7D"/>
    <w:rsid w:val="6B6932A5"/>
    <w:rsid w:val="6B85671F"/>
    <w:rsid w:val="6BAE2195"/>
    <w:rsid w:val="6BC3086A"/>
    <w:rsid w:val="6BE168CF"/>
    <w:rsid w:val="6C6920F9"/>
    <w:rsid w:val="6C6E6DCF"/>
    <w:rsid w:val="6CAF380D"/>
    <w:rsid w:val="6D024E0B"/>
    <w:rsid w:val="6DE80D4D"/>
    <w:rsid w:val="6E0F4DD7"/>
    <w:rsid w:val="6E2C6AC6"/>
    <w:rsid w:val="6E6F9FC7"/>
    <w:rsid w:val="6E99523C"/>
    <w:rsid w:val="6EA57E47"/>
    <w:rsid w:val="6F2616F8"/>
    <w:rsid w:val="6F2911A3"/>
    <w:rsid w:val="6F6822D7"/>
    <w:rsid w:val="6F77B668"/>
    <w:rsid w:val="6F80074E"/>
    <w:rsid w:val="6F94661F"/>
    <w:rsid w:val="6F957662"/>
    <w:rsid w:val="6FCD41FA"/>
    <w:rsid w:val="7030295B"/>
    <w:rsid w:val="707E3A8B"/>
    <w:rsid w:val="70D5197A"/>
    <w:rsid w:val="71201629"/>
    <w:rsid w:val="71581782"/>
    <w:rsid w:val="71794CEA"/>
    <w:rsid w:val="719C0F72"/>
    <w:rsid w:val="71E5F2B6"/>
    <w:rsid w:val="71FB1982"/>
    <w:rsid w:val="721C4D44"/>
    <w:rsid w:val="726A5630"/>
    <w:rsid w:val="7293150A"/>
    <w:rsid w:val="72B333C6"/>
    <w:rsid w:val="72B6105F"/>
    <w:rsid w:val="737A0503"/>
    <w:rsid w:val="73973553"/>
    <w:rsid w:val="73981CB2"/>
    <w:rsid w:val="73C62B81"/>
    <w:rsid w:val="73D94061"/>
    <w:rsid w:val="73DFF2C1"/>
    <w:rsid w:val="73E752B4"/>
    <w:rsid w:val="73EC1C67"/>
    <w:rsid w:val="74192C1B"/>
    <w:rsid w:val="74235B7E"/>
    <w:rsid w:val="74294E24"/>
    <w:rsid w:val="7458144D"/>
    <w:rsid w:val="745942EE"/>
    <w:rsid w:val="74826FE7"/>
    <w:rsid w:val="749858D8"/>
    <w:rsid w:val="74A5181A"/>
    <w:rsid w:val="74B45308"/>
    <w:rsid w:val="74E20230"/>
    <w:rsid w:val="74E26E5B"/>
    <w:rsid w:val="74ED25E3"/>
    <w:rsid w:val="75117320"/>
    <w:rsid w:val="75865EA6"/>
    <w:rsid w:val="75A02087"/>
    <w:rsid w:val="75B6202C"/>
    <w:rsid w:val="763829FD"/>
    <w:rsid w:val="765F4A43"/>
    <w:rsid w:val="76680CF1"/>
    <w:rsid w:val="76910A96"/>
    <w:rsid w:val="76993924"/>
    <w:rsid w:val="76FB26C3"/>
    <w:rsid w:val="76FF4961"/>
    <w:rsid w:val="778D098C"/>
    <w:rsid w:val="77A727DC"/>
    <w:rsid w:val="77A94A29"/>
    <w:rsid w:val="77F954F1"/>
    <w:rsid w:val="784E426F"/>
    <w:rsid w:val="78674E18"/>
    <w:rsid w:val="78A06277"/>
    <w:rsid w:val="78C35268"/>
    <w:rsid w:val="78DB6168"/>
    <w:rsid w:val="793E146D"/>
    <w:rsid w:val="795934A7"/>
    <w:rsid w:val="796572BA"/>
    <w:rsid w:val="79CB6C5E"/>
    <w:rsid w:val="79F6478D"/>
    <w:rsid w:val="7A202934"/>
    <w:rsid w:val="7A5A46DF"/>
    <w:rsid w:val="7A7947BD"/>
    <w:rsid w:val="7B035A61"/>
    <w:rsid w:val="7B0C0269"/>
    <w:rsid w:val="7B215011"/>
    <w:rsid w:val="7B786BEC"/>
    <w:rsid w:val="7BF73D70"/>
    <w:rsid w:val="7BFF23C9"/>
    <w:rsid w:val="7C01687E"/>
    <w:rsid w:val="7C11491A"/>
    <w:rsid w:val="7C374594"/>
    <w:rsid w:val="7C5C0078"/>
    <w:rsid w:val="7C6565A2"/>
    <w:rsid w:val="7C881EC8"/>
    <w:rsid w:val="7D0F483D"/>
    <w:rsid w:val="7D474996"/>
    <w:rsid w:val="7D4F4708"/>
    <w:rsid w:val="7D651C73"/>
    <w:rsid w:val="7D80675E"/>
    <w:rsid w:val="7D867CFE"/>
    <w:rsid w:val="7D98203C"/>
    <w:rsid w:val="7E3A5223"/>
    <w:rsid w:val="7EB2746C"/>
    <w:rsid w:val="7ED45422"/>
    <w:rsid w:val="7F0D0A35"/>
    <w:rsid w:val="7F2C5AB1"/>
    <w:rsid w:val="7F5D6690"/>
    <w:rsid w:val="7FC1639D"/>
    <w:rsid w:val="7FF76391"/>
    <w:rsid w:val="7FFDAD72"/>
    <w:rsid w:val="9FEDE858"/>
    <w:rsid w:val="A7FF471B"/>
    <w:rsid w:val="AEDFCFE0"/>
    <w:rsid w:val="B57750D3"/>
    <w:rsid w:val="B6DE1D32"/>
    <w:rsid w:val="B6EA97E4"/>
    <w:rsid w:val="BEDFE518"/>
    <w:rsid w:val="BF7E2B57"/>
    <w:rsid w:val="DDF9774B"/>
    <w:rsid w:val="DF8B6D57"/>
    <w:rsid w:val="E5F75951"/>
    <w:rsid w:val="E6FB320D"/>
    <w:rsid w:val="E7EB2BA9"/>
    <w:rsid w:val="EAEF897E"/>
    <w:rsid w:val="EF6BE977"/>
    <w:rsid w:val="EFB7FD86"/>
    <w:rsid w:val="EFDD257E"/>
    <w:rsid w:val="EFFD9D24"/>
    <w:rsid w:val="F3BB04EE"/>
    <w:rsid w:val="F9FFDDA4"/>
    <w:rsid w:val="FBEFD922"/>
    <w:rsid w:val="FDDFF206"/>
    <w:rsid w:val="FE1E9D04"/>
    <w:rsid w:val="FF37D7DB"/>
    <w:rsid w:val="FFDF8696"/>
    <w:rsid w:val="FFFFA5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40" w:lineRule="atLeast"/>
      <w:jc w:val="both"/>
    </w:pPr>
    <w:rPr>
      <w:rFonts w:ascii="Times New Roman" w:hAnsi="Times New Roman" w:eastAsia="仿宋_GB2312" w:cs="Times New Roman"/>
      <w:spacing w:val="-6"/>
      <w:kern w:val="2"/>
      <w:sz w:val="32"/>
      <w:lang w:val="en-US" w:eastAsia="zh-CN" w:bidi="ar-SA"/>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eastAsia="宋体" w:cs="Courier New"/>
      <w:sz w:val="21"/>
      <w:szCs w:val="21"/>
    </w:rPr>
  </w:style>
  <w:style w:type="paragraph" w:styleId="3">
    <w:name w:val="Date"/>
    <w:basedOn w:val="1"/>
    <w:next w:val="1"/>
    <w:qFormat/>
    <w:uiPriority w:val="0"/>
    <w:rPr>
      <w:rFonts w:ascii="仿宋_GB2312" w:eastAsia="仿宋_GB2312"/>
      <w:sz w:val="32"/>
    </w:rPr>
  </w:style>
  <w:style w:type="paragraph" w:styleId="4">
    <w:name w:val="footer"/>
    <w:basedOn w:val="1"/>
    <w:qFormat/>
    <w:uiPriority w:val="0"/>
    <w:pPr>
      <w:tabs>
        <w:tab w:val="center" w:pos="4153"/>
        <w:tab w:val="right" w:pos="8306"/>
      </w:tabs>
      <w:overflowPunct w:val="0"/>
      <w:autoSpaceDE w:val="0"/>
      <w:autoSpaceDN w:val="0"/>
      <w:adjustRightInd w:val="0"/>
      <w:spacing w:line="240" w:lineRule="atLeast"/>
      <w:jc w:val="both"/>
      <w:textAlignment w:val="baseline"/>
    </w:pPr>
    <w:rPr>
      <w:sz w:val="20"/>
    </w:rPr>
  </w:style>
  <w:style w:type="paragraph" w:styleId="5">
    <w:name w:val="header"/>
    <w:basedOn w:val="1"/>
    <w:qFormat/>
    <w:uiPriority w:val="0"/>
    <w:pPr>
      <w:tabs>
        <w:tab w:val="center" w:pos="4153"/>
        <w:tab w:val="right" w:pos="8306"/>
      </w:tabs>
      <w:overflowPunct w:val="0"/>
      <w:autoSpaceDE w:val="0"/>
      <w:autoSpaceDN w:val="0"/>
      <w:adjustRightInd w:val="0"/>
      <w:spacing w:line="240" w:lineRule="atLeast"/>
      <w:jc w:val="both"/>
      <w:textAlignment w:val="baseline"/>
    </w:pPr>
    <w:rPr>
      <w:sz w:val="20"/>
    </w:rPr>
  </w:style>
  <w:style w:type="paragraph" w:styleId="6">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0">
    <w:name w:val="page number"/>
    <w:basedOn w:val="9"/>
    <w:qFormat/>
    <w:uiPriority w:val="0"/>
  </w:style>
  <w:style w:type="paragraph" w:customStyle="1" w:styleId="11">
    <w:name w:val="Default"/>
    <w:unhideWhenUsed/>
    <w:qFormat/>
    <w:uiPriority w:val="99"/>
    <w:pPr>
      <w:widowControl w:val="0"/>
      <w:autoSpaceDE w:val="0"/>
      <w:autoSpaceDN w:val="0"/>
      <w:adjustRightInd w:val="0"/>
      <w:spacing w:beforeLines="0" w:afterLines="0"/>
    </w:pPr>
    <w:rPr>
      <w:rFonts w:hint="eastAsia" w:ascii="仿宋......" w:hAnsi="仿宋......" w:eastAsia="仿宋......" w:cs="Times New Roman"/>
      <w:color w:val="000000"/>
      <w:sz w:val="24"/>
      <w:szCs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41f64679-b7f1-4aa9-be5c-9be700339195</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386C6AC0</paraID>
      <start>89</start>
      <end>92</end>
      <status>unmodified</status>
      <modifiedWord/>
      <trackRevisions>false</trackRevisions>
    </reviewItem>
    <reviewItem>
      <errorID>f5224b98-fdd9-4f64-b573-ed2ca27243ec</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386C6AC0</paraID>
      <start>104</start>
      <end>107</end>
      <status>unmodified</status>
      <modifiedWord/>
      <trackRevisions>false</trackRevisions>
    </reviewItem>
    <reviewItem>
      <errorID>a7363113-da2e-407d-99dd-30810360ad90</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386C6AC0</paraID>
      <start>121</start>
      <end>124</end>
      <status>unmodified</status>
      <modifiedWord/>
      <trackRevisions>false</trackRevisions>
    </reviewItem>
    <reviewItem>
      <errorID>4e4bcc41-2007-44e9-a350-49be43619870</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386C6AC0</paraID>
      <start>140</start>
      <end>143</end>
      <status>unmodified</status>
      <modifiedWord/>
      <trackRevisions>false</trackRevisions>
    </reviewItem>
    <reviewItem>
      <errorID>b000ffc3-6109-4c5d-a571-08ea4404b3d5</errorID>
      <errorWord>法律、法规</errorWord>
      <group>L1_Word</group>
      <groupName>字词问题</groupName>
      <ability>L2_Typo</ability>
      <abilityName>字词错误</abilityName>
      <candidateList>
        <item>法律法规</item>
      </candidateList>
      <explain/>
      <paraID>386C6AC0</paraID>
      <start>174</start>
      <end>178</end>
      <status>modified</status>
      <modifiedWord>法律法规</modifiedWord>
      <trackRevisions>false</trackRevisions>
    </reviewItem>
    <reviewItem>
      <errorID>3b12958d-54a8-4b26-84dd-1707f335f4ef</errorID>
      <errorWord>不区分</errorWord>
      <group>L1_Grammar</group>
      <groupName>语法问题</groupName>
      <ability>L2_Order</ability>
      <abilityName>语序不当</abilityName>
      <candidateList>
        <item>不</item>
      </candidateList>
      <explain>句子可能没有遵循时空、逻辑顺序，或者介词、关联词等位置不当。</explain>
      <paraID>55390DFD</paraID>
      <start>23</start>
      <end>26</end>
      <status>unmodified</status>
      <modifiedWord/>
      <trackRevisions>false</trackRevisions>
    </reviewItem>
    <reviewItem>
      <errorID>9447ba7d-7e50-4dc6-8dec-ee6707567b73</errorID>
      <errorWord>（二）、</errorWord>
      <group>L1_Punc</group>
      <groupName>标点问题</groupName>
      <ability>L2_Punc</ability>
      <abilityName>标点符号检查</abilityName>
      <candidateList>
        <item>（二）</item>
      </candidateList>
      <explain>根据国标GB/T 15834-2011《标点符号用法》中的4.5.3.3节，带括号的汉字数字或阿拉伯数字表次序时，后面通常不加顿号。如“（一）指导思想”“（二）行动指南”。</explain>
      <paraID>3E4F57AE</paraID>
      <start>9</start>
      <end>13</end>
      <status>unmodified</status>
      <modifiedWord/>
      <trackRevisions>false</trackRevisions>
    </reviewItem>
    <reviewItem>
      <errorID>41471d75-3e8e-4114-a88c-e70266ad25d1</errorID>
      <errorWord>（三）、</errorWord>
      <group>L1_Punc</group>
      <groupName>标点问题</groupName>
      <ability>L2_Punc</ability>
      <abilityName>标点符号检查</abilityName>
      <candidateList>
        <item>（三）</item>
      </candidateList>
      <explain>根据国标GB/T 15834-2011《标点符号用法》中的4.5.3.3节，带括号的汉字数字或阿拉伯数字表次序时，后面通常不加顿号。如“（一）指导思想”“（二）行动指南”。</explain>
      <paraID>3E4F57AE</paraID>
      <start>13</start>
      <end>17</end>
      <status>unmodified</status>
      <modifiedWord/>
      <trackRevisions>false</trackRevisions>
    </reviewItem>
    <reviewItem>
      <errorID>eb28d0dc-1cd5-4976-8546-a316f26af756</errorID>
      <errorWord>（七）、</errorWord>
      <group>L1_Punc</group>
      <groupName>标点问题</groupName>
      <ability>L2_Punc</ability>
      <abilityName>标点符号检查</abilityName>
      <candidateList>
        <item>（七）</item>
      </candidateList>
      <explain>根据国标GB/T 15834-2011《标点符号用法》中的4.5.3.3节，带括号的汉字数字或阿拉伯数字表次序时，后面通常不加顿号。如“（一）指导思想”“（二）行动指南”。</explain>
      <paraID>3E4F57AE</paraID>
      <start>17</start>
      <end>21</end>
      <status>unmodified</status>
      <modifiedWord/>
      <trackRevisions>false</trackRevisions>
    </reviewItem>
    <reviewItem>
      <errorID>00bd386d-1c27-4a18-b7e7-4a24ab0d10a4</errorID>
      <errorWord>（二）、</errorWord>
      <group>L1_Punc</group>
      <groupName>标点问题</groupName>
      <ability>L2_Punc</ability>
      <abilityName>标点符号检查</abilityName>
      <candidateList>
        <item>（二）</item>
      </candidateList>
      <explain>根据国标GB/T 15834-2011《标点符号用法》中的4.5.3.3节，带括号的汉字数字或阿拉伯数字表次序时，后面通常不加顿号。如“（一）指导思想”“（二）行动指南”。</explain>
      <paraID>3E4F57AE</paraID>
      <start>54</start>
      <end>58</end>
      <status>unmodified</status>
      <modifiedWord/>
      <trackRevisions>false</trackRevisions>
    </reviewItem>
    <reviewItem>
      <errorID>4dc64b35-d22a-44f6-bb63-eb1fb0be231f</errorID>
      <errorWord>（七）、</errorWord>
      <group>L1_Punc</group>
      <groupName>标点问题</groupName>
      <ability>L2_Punc</ability>
      <abilityName>标点符号检查</abilityName>
      <candidateList>
        <item>（七）</item>
      </candidateList>
      <explain>根据国标GB/T 15834-2011《标点符号用法》中的4.5.3.3节，带括号的汉字数字或阿拉伯数字表次序时，后面通常不加顿号。如“（一）指导思想”“（二）行动指南”。</explain>
      <paraID>3E4F57AE</paraID>
      <start>58</start>
      <end>62</end>
      <status>unmodified</status>
      <modifiedWord/>
      <trackRevisions>false</trackRevisions>
    </reviewItem>
    <reviewItem>
      <errorID>030eba1c-b650-4588-80b6-777aa4a6cf83</errorID>
      <errorWord>幼儿园内</errorWord>
      <group>L1_Word</group>
      <groupName>字词问题</groupName>
      <ability>L2_Typo</ability>
      <abilityName>字词错误</abilityName>
      <candidateList>
        <item>幼儿园</item>
      </candidateList>
      <explain/>
      <paraID>21E26853</paraID>
      <start>8</start>
      <end>12</end>
      <status>unmodified</status>
      <modifiedWord/>
      <trackRevisions>false</trackRevisions>
    </reviewItem>
    <reviewItem>
      <errorID>af2acd87-b6e2-4b90-9a46-99df12167ea1</errorID>
      <errorWord>可行距离50米</errorWord>
      <group>L1_Grammar</group>
      <groupName>语法问题</groupName>
      <ability>L2_Order</ability>
      <abilityName>语序不当</abilityName>
      <candidateList>
        <item>50米可行距离</item>
      </candidateList>
      <explain>句子可能没有遵循时空、逻辑顺序，或者介词、关联词等位置不当。</explain>
      <paraID>21E26853</paraID>
      <start>22</start>
      <end>29</end>
      <status>unmodified</status>
      <modifiedWord/>
      <trackRevisions>false</trackRevisions>
    </reviewItem>
    <reviewItem>
      <errorID>e2b1a80a-d444-49df-8614-2225a4ae6d04</errorID>
      <errorWord>劳服</errorWord>
      <group>L1_Word</group>
      <groupName>字词问题</groupName>
      <ability>L2_Typo</ability>
      <abilityName>字词错误</abilityName>
      <candidateList>
        <item>劳务</item>
      </candidateList>
      <explain/>
      <paraID>76700FB1</paraID>
      <start>92</start>
      <end>94</end>
      <status>unmodified</status>
      <modifiedWord/>
      <trackRevisions>false</trackRevisions>
    </reviewItem>
    <reviewItem>
      <errorID>8aafd06d-0e47-4c82-8a1b-ad3799078572</errorID>
      <errorWord>;</errorWord>
      <group>L1_Format</group>
      <groupName>格式问题</groupName>
      <ability>L2_HalfPunc</ability>
      <abilityName>全半角检查</abilityName>
      <candidateList>
        <item>；</item>
      </candidateList>
      <explain>文本全半角错误。</explain>
      <paraID>7BC8FB4E</paraID>
      <start>48</start>
      <end>49</end>
      <status>unmodified</status>
      <modifiedWord/>
      <trackRevisions>false</trackRevisions>
    </reviewItem>
    <reviewItem>
      <errorID>a19413e1-00dc-48a3-921b-ba07685259cd</errorID>
      <errorWord>法律、法规</errorWord>
      <group>L1_Word</group>
      <groupName>字词问题</groupName>
      <ability>L2_Typo</ability>
      <abilityName>字词错误</abilityName>
      <candidateList>
        <item>法律法规</item>
      </candidateList>
      <explain/>
      <paraID>6689E0E3</paraID>
      <start>4</start>
      <end>8</end>
      <status>modified</status>
      <modifiedWord>法律法规</modifiedWord>
      <trackRevisions>false</trackRevisions>
    </reviewItem>
    <reviewItem>
      <errorID>08c3f9a2-dbaa-4ba0-8938-38149cf74f74</errorID>
      <errorWord>(</errorWord>
      <group>L1_Punc</group>
      <groupName>标点问题</groupName>
      <ability>L2_Punc</ability>
      <abilityName>标点符号检查</abilityName>
      <candidateList/>
      <explain/>
      <paraID>3ACF0E64</paraID>
      <start>31</start>
      <end>32</end>
      <status>unmodified</status>
      <modifiedWord/>
      <trackRevisions>false</trackRevisions>
    </reviewItem>
    <reviewItem>
      <errorID>a57e3492-1068-47f1-95a8-196a480030eb</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4A6DA81C</paraID>
      <start>21</start>
      <end>24</end>
      <status>unmodified</status>
      <modifiedWord/>
      <trackRevisions>false</trackRevisions>
    </reviewItem>
  </reviewItems>
  <config/>
</contractReview>
</file>

<file path=customXml/itemProps1.xml><?xml version="1.0" encoding="utf-8"?>
<ds:datastoreItem xmlns:ds="http://schemas.openxmlformats.org/officeDocument/2006/customXml" ds:itemID="{e62c5526-b398-4125-ad88-6284d1a20d2e}">
  <ds:schemaRefs/>
</ds:datastoreItem>
</file>

<file path=docProps/app.xml><?xml version="1.0" encoding="utf-8"?>
<Properties xmlns="http://schemas.openxmlformats.org/officeDocument/2006/extended-properties" xmlns:vt="http://schemas.openxmlformats.org/officeDocument/2006/docPropsVTypes">
  <Template>Normal.dotm</Template>
  <Pages>9</Pages>
  <Words>4157</Words>
  <Characters>4199</Characters>
  <Lines>0</Lines>
  <Paragraphs>0</Paragraphs>
  <TotalTime>18</TotalTime>
  <ScaleCrop>false</ScaleCrop>
  <LinksUpToDate>false</LinksUpToDate>
  <CharactersWithSpaces>4230</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2025-04-26T07:43:00Z</dcterms:created>
  <dc:creator>zpyc</dc:creator>
  <cp:lastModifiedBy>Sananmi</cp:lastModifiedBy>
  <cp:lastPrinted>2026-01-30T06:28:00Z</cp:lastPrinted>
  <dcterms:modified xsi:type="dcterms:W3CDTF">2026-01-30T06:44:08Z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278BF64A34EA40338AACEC8E74A0C16A_13</vt:lpwstr>
  </property>
  <property fmtid="{D5CDD505-2E9C-101B-9397-08002B2CF9AE}" pid="4" name="KSOTemplateDocerSaveRecord">
    <vt:lpwstr>eyJoZGlkIjoiZjc5MzQ5NjUxZTZhOTFiZWQ2NTBiMTY0NmMwMWFmMmYiLCJ1c2VySWQiOiIyMjUyNTQ1NDkifQ==</vt:lpwstr>
  </property>
</Properties>
</file>